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right"/>
      </w:pPr>
      <w:r>
        <w:t>ملف إيزي جاز الكامل</w:t>
      </w:r>
    </w:p>
    <w:p>
      <w:pPr>
        <w:pStyle w:val="Heading2"/>
        <w:jc w:val="right"/>
      </w:pPr>
      <w:r>
        <w:t>EzyGas Complete Business Profile</w:t>
      </w:r>
    </w:p>
    <w:p>
      <w:pPr>
        <w:jc w:val="right"/>
      </w:pPr>
      <w:r/>
      <w:r>
        <w:rPr>
          <w:b/>
        </w:rPr>
        <w:t>تاريخ الإصدار:</w:t>
      </w:r>
      <w:r>
        <w:t xml:space="preserve"> أبريل 2026</w:t>
      </w:r>
    </w:p>
    <w:p>
      <w:pPr>
        <w:jc w:val="right"/>
      </w:pPr>
      <w:r/>
      <w:r>
        <w:rPr>
          <w:b/>
        </w:rPr>
        <w:t>الإعداد:</w:t>
      </w:r>
      <w:r>
        <w:t xml:space="preserve"> مكتب الرئيس التنفيذي — إيزي جاز</w:t>
      </w:r>
    </w:p>
    <w:p>
      <w:pPr>
        <w:jc w:val="right"/>
      </w:pPr>
      <w:r/>
      <w:r>
        <w:rPr>
          <w:b/>
        </w:rPr>
        <w:t>التصنيف:</w:t>
      </w:r>
      <w:r>
        <w:t xml:space="preserve"> سري — معلومات ملكية للعمل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1"/>
        <w:jc w:val="right"/>
      </w:pPr>
      <w:r>
        <w:t>المحتويات</w:t>
      </w:r>
    </w:p>
    <w:p>
      <w:pPr>
        <w:pStyle w:val="ListNumber"/>
        <w:jc w:val="right"/>
      </w:pPr>
      <w:r>
        <w:t>[نظرة عامة على الشركة](#1-نظرة-عامة-على-الشركة)</w:t>
      </w:r>
    </w:p>
    <w:p>
      <w:pPr>
        <w:pStyle w:val="ListNumber"/>
        <w:jc w:val="right"/>
      </w:pPr>
      <w:r>
        <w:t>[الهيكل القيادي](#2-الهيكل-القيادي)</w:t>
      </w:r>
    </w:p>
    <w:p>
      <w:pPr>
        <w:pStyle w:val="ListNumber"/>
        <w:jc w:val="right"/>
      </w:pPr>
      <w:r>
        <w:t>[نموذج العمل](#3-نموذج-العمل)</w:t>
      </w:r>
    </w:p>
    <w:p>
      <w:pPr>
        <w:pStyle w:val="ListNumber"/>
        <w:jc w:val="right"/>
      </w:pPr>
      <w:r>
        <w:t>[المنتجات والأسعار](#4-المنتجات-والأسعار)</w:t>
      </w:r>
    </w:p>
    <w:p>
      <w:pPr>
        <w:pStyle w:val="ListNumber"/>
        <w:jc w:val="right"/>
      </w:pPr>
      <w:r>
        <w:t>[الموقع في السوق](#5-الموقع-في-السوق)</w:t>
      </w:r>
    </w:p>
    <w:p>
      <w:pPr>
        <w:pStyle w:val="ListNumber"/>
        <w:jc w:val="right"/>
      </w:pPr>
      <w:r>
        <w:t>[اللمحة المالية](#6-اللمحة-المالية)</w:t>
      </w:r>
    </w:p>
    <w:p>
      <w:pPr>
        <w:pStyle w:val="ListNumber"/>
        <w:jc w:val="right"/>
      </w:pPr>
      <w:r>
        <w:t>[المقاييس الرئيسية ومؤشرات الأداء](#7-المقاييس-الرئيسية-ومؤشرات-الأداء)</w:t>
      </w:r>
    </w:p>
    <w:p>
      <w:pPr>
        <w:pStyle w:val="ListNumber"/>
        <w:jc w:val="right"/>
      </w:pPr>
      <w:r>
        <w:t>[المكدس التقني](#8-المكدس-التقني)</w:t>
      </w:r>
    </w:p>
    <w:p>
      <w:pPr>
        <w:pStyle w:val="ListNumber"/>
        <w:jc w:val="right"/>
      </w:pPr>
      <w:r>
        <w:t>[الأولويات الاستراتيجية 2026](#9-الأولويات-الاستراتيجية-2026)</w:t>
      </w:r>
    </w:p>
    <w:p>
      <w:pPr>
        <w:pStyle w:val="ListNumber"/>
        <w:jc w:val="right"/>
      </w:pPr>
      <w:r>
        <w:t>[هوية العلامة التجارية](#10-هوية-العلامة-التجارية)</w:t>
      </w:r>
    </w:p>
    <w:p>
      <w:pPr>
        <w:pStyle w:val="ListNumber"/>
        <w:jc w:val="right"/>
      </w:pPr>
      <w:r>
        <w:t>[التواصل والاتصال](#11-التواصل-والاتصال)</w:t>
      </w:r>
    </w:p>
    <w:p>
      <w:pPr>
        <w:pStyle w:val="ListNumber"/>
        <w:jc w:val="right"/>
      </w:pPr>
      <w:r>
        <w:t>[التحديات والمخاطر](#12-التحديات-والمخاطر)</w:t>
      </w:r>
    </w:p>
    <w:p>
      <w:pPr>
        <w:pStyle w:val="ListNumber"/>
        <w:jc w:val="right"/>
      </w:pPr>
      <w:r>
        <w:t>[فرص الإيرادات غير المستغلة](#13-فرص-الإيرادات-غير-المستغلة)</w:t>
      </w:r>
    </w:p>
    <w:p>
      <w:pPr>
        <w:pStyle w:val="ListNumber"/>
        <w:jc w:val="right"/>
      </w:pPr>
      <w:r>
        <w:t>[العناية الواجبة قبل التوقيع](#14-العناية-الواجبة-قبل-التوقيع)</w:t>
      </w:r>
    </w:p>
    <w:p>
      <w:pPr>
        <w:pStyle w:val="ListNumber"/>
        <w:jc w:val="right"/>
      </w:pPr>
      <w:r>
        <w:t>[الحكم النهائي](#15-الحكم-النهائي)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1. نظرة عامة على الشركة</w:t>
      </w:r>
    </w:p>
    <w:p>
      <w:pPr>
        <w:pStyle w:val="Heading3"/>
        <w:jc w:val="right"/>
      </w:pPr>
      <w:r>
        <w:t>هوية الشركة</w:t>
      </w:r>
    </w:p>
    <w:p>
      <w:pPr>
        <w:jc w:val="right"/>
      </w:pPr>
      <w:r/>
      <w:r>
        <w:rPr>
          <w:b/>
        </w:rPr>
        <w:t>الاسم القانوني:</w:t>
      </w:r>
      <w:r>
        <w:t xml:space="preserve"> إيزي جاز (EzyGas) — تابعة لمجموعة TreeGas</w:t>
      </w:r>
    </w:p>
    <w:p>
      <w:pPr>
        <w:jc w:val="right"/>
      </w:pPr>
      <w:r/>
      <w:r>
        <w:rPr>
          <w:b/>
        </w:rPr>
        <w:t>الشركة الأم:</w:t>
      </w:r>
      <w:r>
        <w:t xml:space="preserve"> TreeGas Industrial Group</w:t>
      </w:r>
    </w:p>
    <w:p>
      <w:pPr>
        <w:jc w:val="right"/>
      </w:pPr>
      <w:r/>
      <w:r>
        <w:rPr>
          <w:b/>
        </w:rPr>
        <w:t>نوع النشاط:</w:t>
      </w:r>
      <w:r>
        <w:t xml:space="preserve"> منصة توزيع رقمية للغاز البترولي المسال (B2C + B2B2C)</w:t>
      </w:r>
    </w:p>
    <w:p>
      <w:pPr>
        <w:jc w:val="right"/>
      </w:pPr>
      <w:r/>
      <w:r>
        <w:rPr>
          <w:b/>
        </w:rPr>
        <w:t>سنة التأسيس:</w:t>
      </w:r>
      <w:r>
        <w:t xml:space="preserve"> 2025</w:t>
      </w:r>
    </w:p>
    <w:p>
      <w:pPr>
        <w:jc w:val="right"/>
      </w:pPr>
      <w:r/>
      <w:r>
        <w:rPr>
          <w:b/>
        </w:rPr>
        <w:t>المقر الرئيسي:</w:t>
      </w:r>
      <w:r>
        <w:t xml:space="preserve"> مصر (مرتبط بالمنطقة الاقتصادية لقناة السويس - SCZone)</w:t>
      </w:r>
    </w:p>
    <w:p>
      <w:pPr>
        <w:pStyle w:val="Heading3"/>
        <w:jc w:val="right"/>
      </w:pPr>
      <w:r>
        <w:t>الرسالة</w:t>
      </w:r>
    </w:p>
    <w:p>
      <w:pPr>
        <w:jc w:val="right"/>
      </w:pPr>
      <w:r>
        <w:t>تحويل توزيع الغاز في مصر من خلال إدارة الأصول الممكّنة بالتكنولوجيا، وتقديم حلول أسطوانات مركّبة متميزة مع ضمان السلامة والراحة والشفافية.</w:t>
      </w:r>
    </w:p>
    <w:p>
      <w:pPr>
        <w:pStyle w:val="Heading3"/>
        <w:jc w:val="right"/>
      </w:pPr>
      <w:r>
        <w:t>الرؤية</w:t>
      </w:r>
    </w:p>
    <w:p>
      <w:pPr>
        <w:jc w:val="right"/>
      </w:pPr>
      <w:r>
        <w:t>أن نصبح المعيار المرجعي لتوزيع الغاز في مصر — السيطرة على القطاع المتميز من خلال التكامل الرأسي، البنية التحتية الذكية (IoT)، وموثوقية خدمة لا مثيل لها.</w:t>
      </w:r>
    </w:p>
    <w:p>
      <w:pPr>
        <w:pStyle w:val="Heading3"/>
        <w:jc w:val="right"/>
      </w:pPr>
      <w:r>
        <w:t>القيمة المضافة الأساسية</w:t>
      </w:r>
    </w:p>
    <w:p>
      <w:pPr>
        <w:pStyle w:val="ListBullet"/>
        <w:jc w:val="right"/>
      </w:pPr>
      <w:r>
        <w:t>✅ **أسطوانات أخف بنسبة 50%** — مركّب Type IV مقابل الصلب</w:t>
      </w:r>
    </w:p>
    <w:p>
      <w:pPr>
        <w:pStyle w:val="ListBullet"/>
        <w:jc w:val="right"/>
      </w:pPr>
      <w:r>
        <w:t>✅ **مضادة للانفجار 100%** — شفافة، مقاومة للصدأ</w:t>
      </w:r>
    </w:p>
    <w:p>
      <w:pPr>
        <w:pStyle w:val="ListBullet"/>
        <w:jc w:val="right"/>
      </w:pPr>
      <w:r>
        <w:t>✅ **توصيل عند الطلب** — مع تتبع فوري عبر GPS</w:t>
      </w:r>
    </w:p>
    <w:p>
      <w:pPr>
        <w:pStyle w:val="ListBullet"/>
        <w:jc w:val="right"/>
      </w:pPr>
      <w:r>
        <w:t>✅ **عمر افتراضي 10-15 سنة** — مقابل 5-7 سنوات للأسطوانات الصلب</w:t>
      </w:r>
    </w:p>
    <w:p>
      <w:pPr>
        <w:pStyle w:val="ListBullet"/>
        <w:jc w:val="right"/>
      </w:pPr>
      <w:r>
        <w:t>✅ **مراقبة جودة محكومة بالأصول** — كل أسطوانة مُتتبّعة عبر QR/RFID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2. الهيكل القيادي</w:t>
      </w:r>
    </w:p>
    <w:p>
      <w:pPr>
        <w:pStyle w:val="Heading3"/>
        <w:jc w:val="right"/>
      </w:pPr>
      <w:r>
        <w:t>الفريق التنفيذي</w:t>
      </w:r>
    </w:p>
    <w:p>
      <w:pPr>
        <w:jc w:val="right"/>
      </w:pPr>
      <w:r>
        <w:t>#### رئيس مجلس الإدارة: محمد الزيات</w:t>
      </w:r>
    </w:p>
    <w:p>
      <w:pPr>
        <w:pStyle w:val="ListBullet"/>
        <w:jc w:val="right"/>
      </w:pPr>
      <w:r>
        <w:t>الإشراف الاستراتيجي، تخصيص رأس المال، حوكمة مجلس الإدارة</w:t>
      </w:r>
    </w:p>
    <w:p>
      <w:pPr>
        <w:pStyle w:val="ListBullet"/>
        <w:jc w:val="right"/>
      </w:pPr>
      <w:r>
        <w:t>مؤسس Strike Media (شريك التسويق والإبداع)</w:t>
      </w:r>
    </w:p>
    <w:p>
      <w:pPr>
        <w:jc w:val="right"/>
      </w:pPr>
      <w:r>
        <w:t>#### الرئيس التنفيذي: محمد صبحي (معيّن 22 فبراير 2026)</w:t>
      </w:r>
    </w:p>
    <w:p>
      <w:pPr>
        <w:pStyle w:val="ListBullet"/>
        <w:jc w:val="right"/>
      </w:pPr>
      <w:r>
        <w:t>العمليات اليومية، التنفيذ الاستراتيجي</w:t>
      </w:r>
    </w:p>
    <w:p>
      <w:pPr>
        <w:pStyle w:val="ListBullet"/>
        <w:jc w:val="right"/>
      </w:pPr>
      <w:r>
        <w:t>يرفع التقارير للرئيس</w:t>
      </w:r>
    </w:p>
    <w:p>
      <w:pPr>
        <w:pStyle w:val="Heading3"/>
        <w:jc w:val="right"/>
      </w:pPr>
      <w:r>
        <w:t>المناصب القيادية (C-Suite) — قيد التوظيف</w:t>
      </w:r>
    </w:p>
    <w:p>
      <w:pPr>
        <w:pStyle w:val="ListNumber"/>
        <w:jc w:val="right"/>
      </w:pPr>
      <w:r>
        <w:t>**المدير المالي (CFO)** — الاستراتيجية المالية، اقتصاديات الوحدة، علاقات المستثمرين *(المنصب متاح)*</w:t>
      </w:r>
    </w:p>
    <w:p>
      <w:pPr>
        <w:pStyle w:val="ListNumber"/>
        <w:jc w:val="right"/>
      </w:pPr>
      <w:r>
        <w:t>**مدير العمليات (COO)** — العمليات، اللوجستيات، خدمة العملاء، التنفيذ *(المنصب متاح)*</w:t>
      </w:r>
    </w:p>
    <w:p>
      <w:pPr>
        <w:pStyle w:val="ListNumber"/>
        <w:jc w:val="right"/>
      </w:pPr>
      <w:r>
        <w:t>**المدير التقني (CTO)** — بنية المنصة، البنية التحتية الذكية، الأتمتة *(المنصب متاح)*</w:t>
      </w:r>
    </w:p>
    <w:p>
      <w:pPr>
        <w:pStyle w:val="ListNumber"/>
        <w:jc w:val="right"/>
      </w:pPr>
      <w:r>
        <w:t>**رئيس النمو (Head of Growth)** — اكتساب العملاء، تحديد موقع العلامة التجارية، التسويق الأدائي *(المنصب متاح)*</w:t>
      </w:r>
    </w:p>
    <w:p>
      <w:pPr>
        <w:pStyle w:val="ListNumber"/>
        <w:jc w:val="right"/>
      </w:pPr>
      <w:r>
        <w:t>**قائد المبيعات (Sales Lead - تحت COO)** — شبكة موزعين B2B2C، حسابات الشركات *(المنصب متاح)*</w:t>
      </w:r>
    </w:p>
    <w:p>
      <w:pPr>
        <w:pStyle w:val="Heading3"/>
        <w:jc w:val="right"/>
      </w:pPr>
      <w:r>
        <w:t>الهيكل التنظيمي (المرحلة 1: السنة الأولى)</w:t>
      </w:r>
    </w:p>
    <w:p>
      <w:pPr>
        <w:jc w:val="right"/>
      </w:pPr>
      <w:r/>
      <w:r>
        <w:rPr>
          <w:b/>
        </w:rPr>
        <w:t>النطاق المستهدف:</w:t>
      </w:r>
      <w:r>
        <w:t xml:space="preserve"> 10,000 أسطوانة نشطة</w:t>
      </w:r>
    </w:p>
    <w:p>
      <w:pPr>
        <w:jc w:val="right"/>
      </w:pPr>
      <w:r/>
      <w:r>
        <w:rPr>
          <w:b/>
        </w:rPr>
        <w:t>حجم الفريق:</w:t>
      </w:r>
      <w:r>
        <w:t xml:space="preserve"> 24-29 شخص</w:t>
      </w:r>
    </w:p>
    <w:p>
      <w:pPr>
        <w:jc w:val="right"/>
      </w:pPr>
      <w:r/>
      <w:r>
        <w:rPr>
          <w:b/>
        </w:rPr>
        <w:t>التكلفة التشغيلية الشهرية:</w:t>
      </w:r>
      <w:r>
        <w:t xml:space="preserve"> 355,000 - 455,000 جنيه</w:t>
      </w:r>
    </w:p>
    <w:p>
      <w:pPr>
        <w:jc w:val="right"/>
      </w:pPr>
      <w:r/>
      <w:r>
        <w:rPr>
          <w:b/>
        </w:rPr>
        <w:t>التكلفة السنوية:</w:t>
      </w:r>
      <w:r>
        <w:t xml:space="preserve"> 4.26 - 5.46 مليون جنيه</w:t>
      </w:r>
    </w:p>
    <w:p>
      <w:pPr>
        <w:jc w:val="right"/>
      </w:pPr>
      <w:r>
        <w:t>#### الأقسام</w:t>
      </w:r>
    </w:p>
    <w:p>
      <w:pPr>
        <w:pStyle w:val="ListNumber"/>
        <w:jc w:val="right"/>
      </w:pPr>
      <w:r>
        <w:t>**المالية (CFO + 3)** — المحاسبة، الخزينة، التخطيط المالي</w:t>
      </w:r>
    </w:p>
    <w:p>
      <w:pPr>
        <w:pStyle w:val="ListNumber"/>
        <w:jc w:val="right"/>
      </w:pPr>
      <w:r>
        <w:t>**العمليات (COO + 8-10)** — اللوجستيات، المستودع، خدمة العملاء، مراقبة الجودة</w:t>
      </w:r>
    </w:p>
    <w:p>
      <w:pPr>
        <w:pStyle w:val="ListNumber"/>
        <w:jc w:val="right"/>
      </w:pPr>
      <w:r>
        <w:t>**التقنية (CTO + 4-5)** — تطوير المنصة، البنية التحتية الذكية، DevOps</w:t>
      </w:r>
    </w:p>
    <w:p>
      <w:pPr>
        <w:pStyle w:val="ListNumber"/>
        <w:jc w:val="right"/>
      </w:pPr>
      <w:r>
        <w:t>**النمو (Head of Growth + 3-4)** — التسويق، العلامة التجارية، اكتساب الأداء</w:t>
      </w:r>
    </w:p>
    <w:p>
      <w:pPr>
        <w:pStyle w:val="ListNumber"/>
        <w:jc w:val="right"/>
      </w:pPr>
      <w:r>
        <w:t>**المبيعات (Sales Lead + 2-3)** — موزعو B2B2C، حسابات الشركات</w:t>
      </w:r>
    </w:p>
    <w:p>
      <w:pPr>
        <w:pStyle w:val="ListNumber"/>
        <w:jc w:val="right"/>
      </w:pPr>
      <w:r>
        <w:t>**الموارد البشرية (منسق واحد)** — التوظيف، الإعداد، الامتثال</w:t>
      </w:r>
    </w:p>
    <w:p>
      <w:pPr>
        <w:pStyle w:val="ListNumber"/>
        <w:jc w:val="right"/>
      </w:pPr>
      <w:r>
        <w:t>**القانوني (بدوام جزئي/خارجي)** — العقود، التنظيم، الامتثال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3. نموذج العمل</w:t>
      </w:r>
    </w:p>
    <w:p>
      <w:pPr>
        <w:pStyle w:val="Heading3"/>
        <w:jc w:val="right"/>
      </w:pPr>
      <w:r>
        <w:t>مصادر الإيرادات الأساسية (B2C مباشر)</w:t>
      </w:r>
    </w:p>
    <w:p>
      <w:pPr>
        <w:pStyle w:val="ListNumber"/>
        <w:jc w:val="right"/>
      </w:pPr>
      <w:r>
        <w:t>**مبيعات الأسطوانات** — هامش لمرة واحدة عند اكتساب عميل جديد</w:t>
      </w:r>
    </w:p>
    <w:p>
      <w:pPr>
        <w:pStyle w:val="ListNumber"/>
        <w:jc w:val="right"/>
      </w:pPr>
      <w:r>
        <w:t>**هامش إعادة التعبئة** — إيرادات متكررة لكل طلب (14+ إعادة تعبئة/سنة متوسط)</w:t>
      </w:r>
    </w:p>
    <w:p>
      <w:pPr>
        <w:pStyle w:val="ListNumber"/>
        <w:jc w:val="right"/>
      </w:pPr>
      <w:r>
        <w:t>**رسوم التوصيل** — صافي الإيرادات بعد تخصيص تكلفة السائق</w:t>
      </w:r>
    </w:p>
    <w:p>
      <w:pPr>
        <w:pStyle w:val="Heading3"/>
        <w:jc w:val="right"/>
      </w:pPr>
      <w:r>
        <w:t>مصادر الإيرادات الثانوية (برنامج الموزعين المعتمدين B2B2C)</w:t>
      </w:r>
    </w:p>
    <w:p>
      <w:pPr>
        <w:pStyle w:val="ListBullet"/>
        <w:jc w:val="right"/>
      </w:pPr>
      <w:r>
        <w:t>**ودائع أسطوانات الموزعين** — التزام قابل للاسترداد</w:t>
      </w:r>
    </w:p>
    <w:p>
      <w:pPr>
        <w:pStyle w:val="ListBullet"/>
        <w:jc w:val="right"/>
      </w:pPr>
      <w:r>
        <w:t>**هامش إعادة التعبئة بالجملة** — هيكل خصم متدرج</w:t>
      </w:r>
    </w:p>
    <w:p>
      <w:pPr>
        <w:pStyle w:val="ListBullet"/>
        <w:jc w:val="right"/>
      </w:pPr>
      <w:r>
        <w:t>**رسوم ترخيص الأقاليم** — نموذج مشابه للامتياز</w:t>
      </w:r>
    </w:p>
    <w:p>
      <w:pPr>
        <w:pStyle w:val="Heading3"/>
        <w:jc w:val="right"/>
      </w:pPr>
      <w:r>
        <w:t>خصائص نموذج السوق</w:t>
      </w:r>
    </w:p>
    <w:p>
      <w:pPr>
        <w:pStyle w:val="ListBullet"/>
        <w:jc w:val="right"/>
      </w:pPr>
      <w:r>
        <w:t>❌ **ليست تطبيق توصيل** — شبكة توزيع محكومة بالأصول</w:t>
      </w:r>
    </w:p>
    <w:p>
      <w:pPr>
        <w:pStyle w:val="ListBullet"/>
        <w:jc w:val="right"/>
      </w:pPr>
      <w:r>
        <w:t>✅ **التكامل الرأسي:** التصنيع (TreeGas) → التوزيع (EzyGas) → العميل النهائي</w:t>
      </w:r>
    </w:p>
    <w:p>
      <w:pPr>
        <w:pStyle w:val="ListBullet"/>
        <w:jc w:val="right"/>
      </w:pPr>
      <w:r>
        <w:t>✅ **البنية التحتية الذكية (IoT):** كل أسطوانة = نقطة أصول مُتتبَّعة (QR/RFID)</w:t>
      </w:r>
    </w:p>
    <w:p>
      <w:pPr>
        <w:pStyle w:val="ListBullet"/>
        <w:jc w:val="right"/>
      </w:pPr>
      <w:r>
        <w:t>✅ **الدفع عند الاستلام (COD) مهيمن:** 95%+ من المعاملات (واقع السوق المصري)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4. المنتجات والأسعار</w:t>
      </w:r>
    </w:p>
    <w:p>
      <w:pPr>
        <w:pStyle w:val="Heading3"/>
        <w:jc w:val="right"/>
      </w:pPr>
      <w:r>
        <w:t>منتجات المستهلك (نظام الإنتاج الفعلي)</w:t>
      </w:r>
    </w:p>
    <w:p>
      <w:pPr>
        <w:jc w:val="right"/>
      </w:pPr>
      <w:r/>
      <w:r>
        <w:rPr>
          <w:b/>
        </w:rPr>
        <w:t>تأمين الأسطوانة:</w:t>
      </w:r>
      <w:r>
        <w:t xml:space="preserve"> 2,500 جنيه (لمرة واحدة، قابل للاسترداد)</w:t>
      </w:r>
    </w:p>
    <w:p>
      <w:pPr>
        <w:pStyle w:val="Heading3"/>
        <w:jc w:val="right"/>
      </w:pPr>
      <w:r>
        <w:t>السياق التنافسي (بعد خفض الدعم، 10 مارس 2026)</w:t>
      </w:r>
    </w:p>
    <w:p>
      <w:pPr>
        <w:pStyle w:val="ListBullet"/>
        <w:jc w:val="right"/>
      </w:pPr>
      <w:r>
        <w:t>**أسطوانة الصلب (المدعومة):** 275 جنيه (ارتفعت من 225 جنيه)</w:t>
      </w:r>
    </w:p>
    <w:p>
      <w:pPr>
        <w:pStyle w:val="ListBullet"/>
        <w:jc w:val="right"/>
      </w:pPr>
      <w:r>
        <w:t>**إيزي جاز بريميوم:** علاوة 56% فوق الصلب المدعوم (انخفضت من 91% قبل خفض الدعم)</w:t>
      </w:r>
    </w:p>
    <w:p>
      <w:pPr>
        <w:pStyle w:val="ListBullet"/>
        <w:jc w:val="right"/>
      </w:pPr>
      <w:r>
        <w:t>**تضييق فجوة القيمة:** محفز سوق لتبنّي الأسطوانات المركّبة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5. الموقع في السوق</w:t>
      </w:r>
    </w:p>
    <w:p>
      <w:pPr>
        <w:pStyle w:val="Heading3"/>
        <w:jc w:val="right"/>
      </w:pPr>
      <w:r>
        <w:t>السوق المستهدف</w:t>
      </w:r>
    </w:p>
    <w:p>
      <w:pPr>
        <w:pStyle w:val="ListBullet"/>
        <w:jc w:val="right"/>
      </w:pPr>
      <w:r>
        <w:t>**الأساسي:** 1.5-3 مليون أسرة حضرية متميزة (دخل الأسرة &gt;25 ألف جنيه/شهر)</w:t>
      </w:r>
    </w:p>
    <w:p>
      <w:pPr>
        <w:pStyle w:val="ListBullet"/>
        <w:jc w:val="right"/>
      </w:pPr>
      <w:r>
        <w:t>**التركيز الجغرافي:** القاهرة الكبرى، الإسكندرية، العاصمة الإدارية الجديدة</w:t>
      </w:r>
    </w:p>
    <w:p>
      <w:pPr>
        <w:pStyle w:val="ListBullet"/>
        <w:jc w:val="right"/>
      </w:pPr>
      <w:r>
        <w:t>**ملف العميل:** واعٍ بالسلامة، مدفوع بالراحة، ذكي رقمياً</w:t>
      </w:r>
    </w:p>
    <w:p>
      <w:pPr>
        <w:pStyle w:val="Heading3"/>
        <w:jc w:val="right"/>
      </w:pPr>
      <w:r>
        <w:t>حجم السوق الكلّي</w:t>
      </w:r>
    </w:p>
    <w:p>
      <w:pPr>
        <w:pStyle w:val="ListBullet"/>
        <w:jc w:val="right"/>
      </w:pPr>
      <w:r>
        <w:t>**إجمالي مصر:** ~300 مليون أسطوانة غاز/سنة</w:t>
      </w:r>
    </w:p>
    <w:p>
      <w:pPr>
        <w:pStyle w:val="ListBullet"/>
        <w:jc w:val="right"/>
      </w:pPr>
      <w:r>
        <w:t>**إجمالي الأسر:** 14-16 مليون</w:t>
      </w:r>
    </w:p>
    <w:p>
      <w:pPr>
        <w:pStyle w:val="ListBullet"/>
        <w:jc w:val="right"/>
      </w:pPr>
      <w:r>
        <w:t>**القيمة السوقية السنوية:** 55-75 مليار جنيه</w:t>
      </w:r>
    </w:p>
    <w:p>
      <w:pPr>
        <w:pStyle w:val="ListBullet"/>
        <w:jc w:val="right"/>
      </w:pPr>
      <w:r>
        <w:t>**القطاع القابل للوصول:** 20-25% من السوق الحضري (الطبقة المتميزة)</w:t>
      </w:r>
    </w:p>
    <w:p>
      <w:pPr>
        <w:pStyle w:val="Heading3"/>
        <w:jc w:val="right"/>
      </w:pPr>
      <w:r>
        <w:t>الميزة التنافسية</w:t>
      </w:r>
    </w:p>
    <w:p>
      <w:pPr>
        <w:pStyle w:val="ListNumber"/>
        <w:jc w:val="right"/>
      </w:pPr>
      <w:r>
        <w:t>**التكامل الرأسي** — حصرية تصنيع TreeGas</w:t>
      </w:r>
    </w:p>
    <w:p>
      <w:pPr>
        <w:pStyle w:val="ListNumber"/>
        <w:jc w:val="right"/>
      </w:pPr>
      <w:r>
        <w:t>**تقنية المركّب Type IV** — اللاعب الوحيد بأسطوانات مركّبة متقدمة في مصر</w:t>
      </w:r>
    </w:p>
    <w:p>
      <w:pPr>
        <w:pStyle w:val="ListNumber"/>
        <w:jc w:val="right"/>
      </w:pPr>
      <w:r>
        <w:t>**حوكمة الأصول** — مخزون مُتتبَّع بإنترنت الأشياء (مكافحة التزوير)</w:t>
      </w:r>
    </w:p>
    <w:p>
      <w:pPr>
        <w:pStyle w:val="ListNumber"/>
        <w:jc w:val="right"/>
      </w:pPr>
      <w:r>
        <w:t>**اتفاقية مستوى الخدمة (SLA)** — تتبع فوري، نوافذ توصيل متوقعة</w:t>
      </w:r>
    </w:p>
    <w:p>
      <w:pPr>
        <w:pStyle w:val="ListNumber"/>
        <w:jc w:val="right"/>
      </w:pPr>
      <w:r>
        <w:t>**موقع العلامة التجارية** — سرد السلامة المتميز (رسائل مضادة للانفجار)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6. اللمحة المالية</w:t>
      </w:r>
    </w:p>
    <w:p>
      <w:pPr>
        <w:pStyle w:val="Heading3"/>
        <w:jc w:val="right"/>
      </w:pPr>
      <w:r>
        <w:t>اقتصاديات الوحدة (المتوسط المدمج)</w:t>
      </w:r>
    </w:p>
    <w:p>
      <w:pPr>
        <w:pStyle w:val="ListBullet"/>
        <w:jc w:val="right"/>
      </w:pPr>
      <w:r>
        <w:t>**متوسط قيمة الطلب (AOV):** 649 جنيه</w:t>
      </w:r>
    </w:p>
    <w:p>
      <w:pPr>
        <w:pStyle w:val="ListBullet"/>
        <w:jc w:val="right"/>
      </w:pPr>
      <w:r>
        <w:t>**هامش المساهمة:** 155 جنيه لكل طلب (24%)</w:t>
      </w:r>
    </w:p>
    <w:p>
      <w:pPr>
        <w:pStyle w:val="ListBullet"/>
        <w:jc w:val="right"/>
      </w:pPr>
      <w:r>
        <w:t>**القيمة الدائمة للعميل (LTV لـ5 سنوات):** 5,392 جنيه</w:t>
      </w:r>
    </w:p>
    <w:p>
      <w:pPr>
        <w:pStyle w:val="ListBullet"/>
        <w:jc w:val="right"/>
      </w:pPr>
      <w:r>
        <w:t>**تكلفة اكتساب العميل المستهدفة (CAC):** &lt;1,800 جنيه (نسبة 3:1 بين LTV:CAC)</w:t>
      </w:r>
    </w:p>
    <w:p>
      <w:pPr>
        <w:pStyle w:val="ListBullet"/>
        <w:jc w:val="right"/>
      </w:pPr>
      <w:r>
        <w:t>**تكرار إعادة التعبئة:** 14-16 طلب/سنة لكل عميل</w:t>
      </w:r>
    </w:p>
    <w:p>
      <w:pPr>
        <w:pStyle w:val="Heading3"/>
        <w:jc w:val="right"/>
      </w:pPr>
      <w:r>
        <w:t>أهداف التعادل</w:t>
      </w:r>
    </w:p>
    <w:p>
      <w:pPr>
        <w:pStyle w:val="ListBullet"/>
        <w:jc w:val="right"/>
      </w:pPr>
      <w:r>
        <w:t>**الطلبات اليومية:** 43 طلب/يوم</w:t>
      </w:r>
    </w:p>
    <w:p>
      <w:pPr>
        <w:pStyle w:val="ListBullet"/>
        <w:jc w:val="right"/>
      </w:pPr>
      <w:r>
        <w:t>**الطلبات الشهرية:** ~1,290 طلب/شهر</w:t>
      </w:r>
    </w:p>
    <w:p>
      <w:pPr>
        <w:pStyle w:val="ListBullet"/>
        <w:jc w:val="right"/>
      </w:pPr>
      <w:r>
        <w:t>**الأسطوانات النشطة:** 20,500 (خط أساس الموزع من الدرجة A)</w:t>
      </w:r>
    </w:p>
    <w:p>
      <w:pPr>
        <w:pStyle w:val="Heading3"/>
        <w:jc w:val="right"/>
      </w:pPr>
      <w:r>
        <w:t>التوقعات لـ3 سنوات (السيناريو المحافظ)</w:t>
      </w:r>
    </w:p>
    <w:p>
      <w:pPr>
        <w:jc w:val="right"/>
      </w:pPr>
      <w:r/>
      <w:r>
        <w:rPr>
          <w:b/>
        </w:rPr>
        <w:t>احتياج التمويل:</w:t>
      </w:r>
      <w:r>
        <w:t xml:space="preserve"> 15-20 مليون جنيه جولة تمويل أولية (Seed Round)</w:t>
      </w:r>
    </w:p>
    <w:p>
      <w:pPr>
        <w:jc w:val="right"/>
      </w:pPr>
      <w:r/>
      <w:r>
        <w:rPr>
          <w:b/>
        </w:rPr>
        <w:t>عوائد المستثمرين:</w:t>
      </w:r>
      <w:r>
        <w:t xml:space="preserve"> سيناريو أساسي 8.7× (103% IRR على 3 سنوات)</w:t>
      </w:r>
    </w:p>
    <w:p>
      <w:pPr>
        <w:pStyle w:val="Heading3"/>
        <w:jc w:val="right"/>
      </w:pPr>
      <w:r>
        <w:t>برنامج الموزعين المعتمدين — هيكل المستويات</w:t>
      </w:r>
    </w:p>
    <w:p>
      <w:pPr>
        <w:jc w:val="right"/>
      </w:pPr>
      <w:r/>
      <w:r>
        <w:rPr>
          <w:b/>
        </w:rPr>
        <w:t>هيكل الخصم:</w:t>
      </w:r>
      <w:r>
        <w:t xml:space="preserve"> خصومات قائمة على الحجم + الأداء</w:t>
      </w:r>
    </w:p>
    <w:p>
      <w:pPr>
        <w:jc w:val="right"/>
      </w:pPr>
      <w:r/>
      <w:r>
        <w:rPr>
          <w:b/>
        </w:rPr>
        <w:t>فترة الاسترداد:</w:t>
      </w:r>
      <w:r>
        <w:t xml:space="preserve"> 18-24 شهر (متوسط)</w:t>
      </w:r>
    </w:p>
    <w:p>
      <w:pPr>
        <w:jc w:val="right"/>
      </w:pPr>
      <w:r/>
      <w:r>
        <w:rPr>
          <w:b/>
        </w:rPr>
        <w:t>NPV (معدل خصم 20%):</w:t>
      </w:r>
      <w:r>
        <w:t xml:space="preserve"> ~85 مليون جنيه (المستوى A)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7. المقاييس الرئيسية ومؤشرات الأداء</w:t>
      </w:r>
    </w:p>
    <w:p>
      <w:pPr>
        <w:pStyle w:val="Heading3"/>
        <w:jc w:val="right"/>
      </w:pPr>
      <w:r>
        <w:t>لوحة CFO — معمارية 5 طبقات</w:t>
      </w:r>
    </w:p>
    <w:p>
      <w:pPr>
        <w:jc w:val="right"/>
      </w:pPr>
      <w:r>
        <w:t xml:space="preserve">#### </w:t>
      </w:r>
      <w:r>
        <w:rPr>
          <w:b/>
        </w:rPr>
        <w:t>الطبقة 1: مراقبة السيولة (فوري - Real-Time)</w:t>
      </w:r>
      <w:r>
        <w:t xml:space="preserve"> 🔴 حرج</w:t>
      </w:r>
    </w:p>
    <w:p>
      <w:pPr>
        <w:pStyle w:val="ListBullet"/>
        <w:jc w:val="right"/>
      </w:pPr>
      <w:r>
        <w:t>رصيد نقدي السائق (لكل سائق / الإجمالي)</w:t>
      </w:r>
    </w:p>
    <w:p>
      <w:pPr>
        <w:pStyle w:val="ListBullet"/>
        <w:jc w:val="right"/>
      </w:pPr>
      <w:r>
        <w:t>معدل التسوية اليومي للدفع عند الاستلام</w:t>
      </w:r>
    </w:p>
    <w:p>
      <w:pPr>
        <w:pStyle w:val="ListBullet"/>
        <w:jc w:val="right"/>
      </w:pPr>
      <w:r>
        <w:t>رصيد الخزينة (رأس المال التشغيلي)</w:t>
      </w:r>
    </w:p>
    <w:p>
      <w:pPr>
        <w:jc w:val="right"/>
      </w:pPr>
      <w:r/>
      <w:r>
        <w:rPr>
          <w:b/>
        </w:rPr>
        <w:t>🟢 قيد الإنشاء:</w:t>
      </w:r>
      <w:r/>
    </w:p>
    <w:p>
      <w:pPr>
        <w:jc w:val="right"/>
      </w:pPr>
      <w:r>
        <w:t>لوحة Layer 1 Dashboard — عرض توضيحي 4 أبريل 2026</w:t>
      </w:r>
    </w:p>
    <w:p>
      <w:pPr>
        <w:pStyle w:val="ListBullet"/>
        <w:jc w:val="right"/>
      </w:pPr>
      <w:r>
        <w:t>حد السائق النقدي (5,000 جنيه)</w:t>
      </w:r>
    </w:p>
    <w:p>
      <w:pPr>
        <w:pStyle w:val="ListBullet"/>
        <w:jc w:val="right"/>
      </w:pPr>
      <w:r>
        <w:t>إيقاف تلقائي لتعيين الطلبات عند الحد</w:t>
      </w:r>
    </w:p>
    <w:p>
      <w:pPr>
        <w:pStyle w:val="ListBullet"/>
        <w:jc w:val="right"/>
      </w:pPr>
      <w:r>
        <w:t>نظام تنبيه SMS للعتبات الحرجة</w:t>
      </w:r>
    </w:p>
    <w:p>
      <w:pPr>
        <w:jc w:val="right"/>
      </w:pPr>
      <w:r>
        <w:t xml:space="preserve">#### </w:t>
      </w:r>
      <w:r>
        <w:rPr>
          <w:b/>
        </w:rPr>
        <w:t>الطبقة 2: الإيرادات والربحية (يومي)</w:t>
      </w:r>
      <w:r/>
    </w:p>
    <w:p>
      <w:pPr>
        <w:pStyle w:val="ListBullet"/>
        <w:jc w:val="right"/>
      </w:pPr>
      <w:r>
        <w:t>إجمالي قيمة البضائع (GMV)</w:t>
      </w:r>
    </w:p>
    <w:p>
      <w:pPr>
        <w:pStyle w:val="ListBullet"/>
        <w:jc w:val="right"/>
      </w:pPr>
      <w:r>
        <w:t>متوسط قيمة الطلب (AOV)</w:t>
      </w:r>
    </w:p>
    <w:p>
      <w:pPr>
        <w:pStyle w:val="ListBullet"/>
        <w:jc w:val="right"/>
      </w:pPr>
      <w:r>
        <w:t>مزيج المنتجات (Home مقابل Premium)</w:t>
      </w:r>
    </w:p>
    <w:p>
      <w:pPr>
        <w:pStyle w:val="ListBullet"/>
        <w:jc w:val="right"/>
      </w:pPr>
      <w:r>
        <w:t>هامش المساهمة</w:t>
      </w:r>
    </w:p>
    <w:p>
      <w:pPr>
        <w:jc w:val="right"/>
      </w:pPr>
      <w:r>
        <w:t xml:space="preserve">#### </w:t>
      </w:r>
      <w:r>
        <w:rPr>
          <w:b/>
        </w:rPr>
        <w:t>الطبقة 3: الكفاءة التشغيلية (أسبوعي)</w:t>
      </w:r>
      <w:r/>
    </w:p>
    <w:p>
      <w:pPr>
        <w:pStyle w:val="ListBullet"/>
        <w:jc w:val="right"/>
      </w:pPr>
      <w:r>
        <w:t>معدل التنفيذ (نسبة إتمام الطلبات %)</w:t>
      </w:r>
    </w:p>
    <w:p>
      <w:pPr>
        <w:pStyle w:val="ListBullet"/>
        <w:jc w:val="right"/>
      </w:pPr>
      <w:r>
        <w:t>الالتزام باتفاقية مستوى خدمة التوصيل</w:t>
      </w:r>
    </w:p>
    <w:p>
      <w:pPr>
        <w:pStyle w:val="ListBullet"/>
        <w:jc w:val="right"/>
      </w:pPr>
      <w:r>
        <w:t>معدل استغلال السائق</w:t>
      </w:r>
    </w:p>
    <w:p>
      <w:pPr>
        <w:pStyle w:val="ListBullet"/>
        <w:jc w:val="right"/>
      </w:pPr>
      <w:r>
        <w:t>معدل دوران الأسطوانة (إعادة تعبئة/أسطوانة/شهر)</w:t>
      </w:r>
    </w:p>
    <w:p>
      <w:pPr>
        <w:jc w:val="right"/>
      </w:pPr>
      <w:r>
        <w:t xml:space="preserve">#### </w:t>
      </w:r>
      <w:r>
        <w:rPr>
          <w:b/>
        </w:rPr>
        <w:t>الطبقة 4: العميل والنمو (أسبوعي)</w:t>
      </w:r>
      <w:r/>
    </w:p>
    <w:p>
      <w:pPr>
        <w:pStyle w:val="ListBullet"/>
        <w:jc w:val="right"/>
      </w:pPr>
      <w:r>
        <w:t>تكلفة اكتساب العميل (CAC)</w:t>
      </w:r>
    </w:p>
    <w:p>
      <w:pPr>
        <w:pStyle w:val="ListBullet"/>
        <w:jc w:val="right"/>
      </w:pPr>
      <w:r>
        <w:t>القيمة الدائمة (LTV)</w:t>
      </w:r>
    </w:p>
    <w:p>
      <w:pPr>
        <w:pStyle w:val="ListBullet"/>
        <w:jc w:val="right"/>
      </w:pPr>
      <w:r>
        <w:t>معدل الاحتفاظ (cohorts شهرية)</w:t>
      </w:r>
    </w:p>
    <w:p>
      <w:pPr>
        <w:pStyle w:val="ListBullet"/>
        <w:jc w:val="right"/>
      </w:pPr>
      <w:r>
        <w:t>صافي نقاط الترويج (NPS)</w:t>
      </w:r>
    </w:p>
    <w:p>
      <w:pPr>
        <w:jc w:val="right"/>
      </w:pPr>
      <w:r>
        <w:t xml:space="preserve">#### </w:t>
      </w:r>
      <w:r>
        <w:rPr>
          <w:b/>
        </w:rPr>
        <w:t>الطبقة 5: المخاطر والامتثال (شهري)</w:t>
      </w:r>
      <w:r/>
    </w:p>
    <w:p>
      <w:pPr>
        <w:pStyle w:val="ListBullet"/>
        <w:jc w:val="right"/>
      </w:pPr>
      <w:r>
        <w:t>تقادم الحسابات المدينة (AR aging)</w:t>
      </w:r>
    </w:p>
    <w:p>
      <w:pPr>
        <w:pStyle w:val="ListBullet"/>
        <w:jc w:val="right"/>
      </w:pPr>
      <w:r>
        <w:t>معدل فقدان الأصول (الأسطوانات)</w:t>
      </w:r>
    </w:p>
    <w:p>
      <w:pPr>
        <w:pStyle w:val="ListBullet"/>
        <w:jc w:val="right"/>
      </w:pPr>
      <w:r>
        <w:t>تغطية التزامات الودائع</w:t>
      </w:r>
    </w:p>
    <w:p>
      <w:pPr>
        <w:pStyle w:val="ListBullet"/>
        <w:jc w:val="right"/>
      </w:pPr>
      <w:r>
        <w:t>معدل حوادث الاحتيال</w:t>
      </w:r>
    </w:p>
    <w:p>
      <w:pPr>
        <w:pStyle w:val="ListBullet"/>
        <w:jc w:val="right"/>
      </w:pPr>
      <w:r>
        <w:t>حالة الامتثال الضريبي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8. المكدس التقني</w:t>
      </w:r>
    </w:p>
    <w:p>
      <w:pPr>
        <w:pStyle w:val="Heading3"/>
        <w:jc w:val="right"/>
      </w:pPr>
      <w:r>
        <w:t>بنية المنصة</w:t>
      </w:r>
    </w:p>
    <w:p>
      <w:pPr>
        <w:pStyle w:val="ListBullet"/>
        <w:jc w:val="right"/>
      </w:pPr>
      <w:r>
        <w:t>**الواجهة الأمامية:** React + TypeScript (ويب/استجابة للموبايل)</w:t>
      </w:r>
    </w:p>
    <w:p>
      <w:pPr>
        <w:pStyle w:val="ListBullet"/>
        <w:jc w:val="right"/>
      </w:pPr>
      <w:r>
        <w:t>**الخلفية:** Express.js + PostgreSQL</w:t>
      </w:r>
    </w:p>
    <w:p>
      <w:pPr>
        <w:pStyle w:val="ListBullet"/>
        <w:jc w:val="right"/>
      </w:pPr>
      <w:r>
        <w:t>**ORM:** Drizzle</w:t>
      </w:r>
    </w:p>
    <w:p>
      <w:pPr>
        <w:pStyle w:val="ListBullet"/>
        <w:jc w:val="right"/>
      </w:pPr>
      <w:r>
        <w:t>**الاستضافة:** Replit (المرحلة المبكرة) → بنية سحابية (مرحلة التوسع)</w:t>
      </w:r>
    </w:p>
    <w:p>
      <w:pPr>
        <w:pStyle w:val="ListBullet"/>
        <w:jc w:val="right"/>
      </w:pPr>
      <w:r>
        <w:t>**طبقة IoT:** نظام تتبع QR/RFID (كل أسطوانة موسومة)</w:t>
      </w:r>
    </w:p>
    <w:p>
      <w:pPr>
        <w:pStyle w:val="Heading3"/>
        <w:jc w:val="right"/>
      </w:pPr>
      <w:r>
        <w:t>الأنظمة الأساسية</w:t>
      </w:r>
    </w:p>
    <w:p>
      <w:pPr>
        <w:jc w:val="right"/>
      </w:pPr>
      <w:r>
        <w:t>#### 1. بنية مالية بـ4 دفاتر (4-Ledger Financial Architecture)</w:t>
      </w:r>
    </w:p>
    <w:p>
      <w:pPr>
        <w:pStyle w:val="ListBullet"/>
        <w:jc w:val="right"/>
      </w:pPr>
      <w:r>
        <w:t>**دفتر النقد** — رصيد السائق، تسوية COD</w:t>
      </w:r>
    </w:p>
    <w:p>
      <w:pPr>
        <w:pStyle w:val="ListBullet"/>
        <w:jc w:val="right"/>
      </w:pPr>
      <w:r>
        <w:t>**دفتر المخزون** — تتبع دورة حياة الأسطوانة</w:t>
      </w:r>
    </w:p>
    <w:p>
      <w:pPr>
        <w:pStyle w:val="ListBullet"/>
        <w:jc w:val="right"/>
      </w:pPr>
      <w:r>
        <w:t>**دفتر الودائع** — إدارة الالتزامات</w:t>
      </w:r>
    </w:p>
    <w:p>
      <w:pPr>
        <w:pStyle w:val="ListBullet"/>
        <w:jc w:val="right"/>
      </w:pPr>
      <w:r>
        <w:t>**دفتر الإيرادات** — الربح والخسارة الفوري</w:t>
      </w:r>
    </w:p>
    <w:p>
      <w:pPr>
        <w:jc w:val="right"/>
      </w:pPr>
      <w:r>
        <w:t>#### 2. نظام مكافحة الاحتيال (Anti-Fraud System)</w:t>
      </w:r>
    </w:p>
    <w:p>
      <w:pPr>
        <w:pStyle w:val="ListBullet"/>
        <w:jc w:val="right"/>
      </w:pPr>
      <w:r>
        <w:t>فرض حد السائق النقدي (Driver Cash Cap)</w:t>
      </w:r>
    </w:p>
    <w:p>
      <w:pPr>
        <w:pStyle w:val="ListBullet"/>
        <w:jc w:val="right"/>
      </w:pPr>
      <w:r>
        <w:t>فحوصات تسوية تلقائية</w:t>
      </w:r>
    </w:p>
    <w:p>
      <w:pPr>
        <w:pStyle w:val="ListBullet"/>
        <w:jc w:val="right"/>
      </w:pPr>
      <w:r>
        <w:t>التحقق من GPS + الطابع الزمني</w:t>
      </w:r>
    </w:p>
    <w:p>
      <w:pPr>
        <w:pStyle w:val="ListBullet"/>
        <w:jc w:val="right"/>
      </w:pPr>
      <w:r>
        <w:t>تنبيهات كشف الشذوذ (Anomaly Detection)</w:t>
      </w:r>
    </w:p>
    <w:p>
      <w:pPr>
        <w:jc w:val="right"/>
      </w:pPr>
      <w:r>
        <w:t>#### 3. محرك اتفاقية مستوى الخدمة للعميل (Customer SLA Engine)</w:t>
      </w:r>
    </w:p>
    <w:p>
      <w:pPr>
        <w:pStyle w:val="ListBullet"/>
        <w:jc w:val="right"/>
      </w:pPr>
      <w:r>
        <w:t>ضمانات نافذة التوصيل</w:t>
      </w:r>
    </w:p>
    <w:p>
      <w:pPr>
        <w:pStyle w:val="ListBullet"/>
        <w:jc w:val="right"/>
      </w:pPr>
      <w:r>
        <w:t>أوقات الوصول المتوقعة الفورية (Real-Time ETAs)</w:t>
      </w:r>
    </w:p>
    <w:p>
      <w:pPr>
        <w:pStyle w:val="ListBullet"/>
        <w:jc w:val="right"/>
      </w:pPr>
      <w:r>
        <w:t>تسجيل جودة الخدمة (Service Quality Scoring)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9. الأولويات الاستراتيجية 2026</w:t>
      </w:r>
    </w:p>
    <w:p>
      <w:pPr>
        <w:pStyle w:val="Heading3"/>
        <w:jc w:val="right"/>
      </w:pPr>
      <w:r>
        <w:t>الربع الأول-الثاني: بناء البنية التحتية</w:t>
      </w:r>
    </w:p>
    <w:p>
      <w:pPr>
        <w:jc w:val="right"/>
      </w:pPr>
      <w:r>
        <w:t xml:space="preserve">✅ </w:t>
      </w:r>
      <w:r>
        <w:rPr>
          <w:b/>
        </w:rPr>
        <w:t>مكتمل:</w:t>
      </w:r>
      <w:r/>
    </w:p>
    <w:p>
      <w:pPr>
        <w:pStyle w:val="ListBullet"/>
        <w:jc w:val="right"/>
      </w:pPr>
      <w:r>
        <w:t>الهيكل التنظيمي معتمد (22 فبراير 2026)</w:t>
      </w:r>
    </w:p>
    <w:p>
      <w:pPr>
        <w:pStyle w:val="ListBullet"/>
        <w:jc w:val="right"/>
      </w:pPr>
      <w:r>
        <w:t>CEO محمد صبحي معيّن</w:t>
      </w:r>
    </w:p>
    <w:p>
      <w:pPr>
        <w:jc w:val="right"/>
      </w:pPr>
      <w:r>
        <w:t xml:space="preserve">🟢 </w:t>
      </w:r>
      <w:r>
        <w:rPr>
          <w:b/>
        </w:rPr>
        <w:t>قيد التقدم:</w:t>
      </w:r>
      <w:r/>
    </w:p>
    <w:p>
      <w:pPr>
        <w:pStyle w:val="ListBullet"/>
        <w:jc w:val="right"/>
      </w:pPr>
      <w:r>
        <w:t>**لوحة CFO من الطبقة 1** (عرض توضيحي 4 أبريل 2026)</w:t>
      </w:r>
    </w:p>
    <w:p>
      <w:pPr>
        <w:pStyle w:val="ListBullet"/>
        <w:jc w:val="right"/>
      </w:pPr>
      <w:r>
        <w:t>حد السائق النقدي (5,000 جنيه)</w:t>
      </w:r>
    </w:p>
    <w:p>
      <w:pPr>
        <w:pStyle w:val="ListBullet"/>
        <w:jc w:val="right"/>
      </w:pPr>
      <w:r>
        <w:t>مراقبة السيولة الفورية</w:t>
      </w:r>
    </w:p>
    <w:p>
      <w:pPr>
        <w:pStyle w:val="ListBullet"/>
        <w:jc w:val="right"/>
      </w:pPr>
      <w:r>
        <w:t>إيقاف تلقائي لتعيين الطلبات عند الحد</w:t>
      </w:r>
    </w:p>
    <w:p>
      <w:pPr>
        <w:pStyle w:val="ListBullet"/>
        <w:jc w:val="right"/>
      </w:pPr>
      <w:r>
        <w:t>نظام تنبيه SMS</w:t>
      </w:r>
    </w:p>
    <w:p>
      <w:pPr>
        <w:jc w:val="right"/>
      </w:pPr>
      <w:r>
        <w:t xml:space="preserve">🔴 </w:t>
      </w:r>
      <w:r>
        <w:rPr>
          <w:b/>
        </w:rPr>
        <w:t>أولوية عالية:</w:t>
      </w:r>
      <w:r/>
    </w:p>
    <w:p>
      <w:pPr>
        <w:pStyle w:val="ListBullet"/>
        <w:jc w:val="right"/>
      </w:pPr>
      <w:r>
        <w:t>توظيف C-suite (5 تعيينات حاسمة: CFO, COO, CTO, Head of Growth, Sales Lead)</w:t>
      </w:r>
    </w:p>
    <w:p>
      <w:pPr>
        <w:pStyle w:val="ListBullet"/>
        <w:jc w:val="right"/>
      </w:pPr>
      <w:r>
        <w:t>ميزات منصة أساسية (المخزون، إدارة الطلبات، تتبع السائق)</w:t>
      </w:r>
    </w:p>
    <w:p>
      <w:pPr>
        <w:pStyle w:val="Heading3"/>
        <w:jc w:val="right"/>
      </w:pPr>
      <w:r>
        <w:t>الربع الثالث: الاستعداد للإطلاق</w:t>
      </w:r>
    </w:p>
    <w:p>
      <w:pPr>
        <w:pStyle w:val="ListBullet"/>
        <w:jc w:val="right"/>
      </w:pPr>
      <w:r>
        <w:t>نشر منطقة تجريبية (سوق اختبار القاهرة)</w:t>
      </w:r>
    </w:p>
    <w:p>
      <w:pPr>
        <w:pStyle w:val="ListBullet"/>
        <w:jc w:val="right"/>
      </w:pPr>
      <w:r>
        <w:t>تفعيل شبكة الموزعين (دفعة أولية من الدرجة B/C)</w:t>
      </w:r>
    </w:p>
    <w:p>
      <w:pPr>
        <w:pStyle w:val="ListBullet"/>
        <w:jc w:val="right"/>
      </w:pPr>
      <w:r>
        <w:t>حملة الوعي بالعلامة التجارية</w:t>
      </w:r>
    </w:p>
    <w:p>
      <w:pPr>
        <w:pStyle w:val="ListBullet"/>
        <w:jc w:val="right"/>
      </w:pPr>
      <w:r>
        <w:t>تحسين قمع اكتساب العملاء</w:t>
      </w:r>
    </w:p>
    <w:p>
      <w:pPr>
        <w:pStyle w:val="Heading3"/>
        <w:jc w:val="right"/>
      </w:pPr>
      <w:r>
        <w:t>الربع الرابع: التوسع</w:t>
      </w:r>
    </w:p>
    <w:p>
      <w:pPr>
        <w:pStyle w:val="ListBullet"/>
        <w:jc w:val="right"/>
      </w:pPr>
      <w:r>
        <w:t>التوسع إلى 3 مناطق حضرية</w:t>
      </w:r>
    </w:p>
    <w:p>
      <w:pPr>
        <w:pStyle w:val="ListBullet"/>
        <w:jc w:val="right"/>
      </w:pPr>
      <w:r>
        <w:t>شبكة موزعين B2B2C (10-15 إقليم)</w:t>
      </w:r>
    </w:p>
    <w:p>
      <w:pPr>
        <w:pStyle w:val="ListBullet"/>
        <w:jc w:val="right"/>
      </w:pPr>
      <w:r>
        <w:t>تحقيق 5,000 أسطوانة نشطة</w:t>
      </w:r>
    </w:p>
    <w:p>
      <w:pPr>
        <w:pStyle w:val="ListBullet"/>
        <w:jc w:val="right"/>
      </w:pPr>
      <w:r>
        <w:t>معلم التعادل (Break-Even Milestone)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10. هوية العلامة التجارية</w:t>
      </w:r>
    </w:p>
    <w:p>
      <w:pPr>
        <w:pStyle w:val="Heading3"/>
        <w:jc w:val="right"/>
      </w:pPr>
      <w:r>
        <w:t>شعار العلامة التجارية</w:t>
      </w:r>
    </w:p>
    <w:p>
      <w:pPr>
        <w:jc w:val="right"/>
      </w:pPr>
      <w:r/>
      <w:r>
        <w:rPr>
          <w:b/>
        </w:rPr>
        <w:t>بالعربية:</w:t>
      </w:r>
      <w:r>
        <w:t xml:space="preserve"> "آمن. نظيف. ذكي."</w:t>
      </w:r>
    </w:p>
    <w:p>
      <w:pPr>
        <w:jc w:val="right"/>
      </w:pPr>
      <w:r/>
      <w:r>
        <w:rPr>
          <w:b/>
        </w:rPr>
        <w:t>بالإنجليزية:</w:t>
      </w:r>
      <w:r>
        <w:t xml:space="preserve"> "Safe. Clean. Smart."</w:t>
      </w:r>
    </w:p>
    <w:p>
      <w:pPr>
        <w:pStyle w:val="Heading3"/>
        <w:jc w:val="right"/>
      </w:pPr>
      <w:r>
        <w:t>جوهر العلامة التجارية</w:t>
      </w:r>
    </w:p>
    <w:p>
      <w:pPr>
        <w:jc w:val="right"/>
      </w:pPr>
      <w:r>
        <w:t>السلامة المتميزة تلتقي بالراحة الرقمية</w:t>
      </w:r>
    </w:p>
    <w:p>
      <w:pPr>
        <w:pStyle w:val="Heading3"/>
        <w:jc w:val="right"/>
      </w:pPr>
      <w:r>
        <w:t>الألوان الأساسية</w:t>
      </w:r>
    </w:p>
    <w:p>
      <w:pPr>
        <w:pStyle w:val="ListNumber"/>
        <w:jc w:val="right"/>
      </w:pPr>
      <w:r>
        <w:t>**أزرق إيزي جاز Navy (#1E3A5F)**</w:t>
      </w:r>
    </w:p>
    <w:p>
      <w:pPr>
        <w:pStyle w:val="ListBullet"/>
        <w:jc w:val="right"/>
      </w:pPr>
      <w:r>
        <w:t>المعنى: الثقة، الموثوقية، الاحترافية، العمق</w:t>
      </w:r>
    </w:p>
    <w:p>
      <w:pPr>
        <w:pStyle w:val="ListBullet"/>
        <w:jc w:val="right"/>
      </w:pPr>
      <w:r>
        <w:t>الاستخدام: الشعار، العناوين، النصوص الأساسية، الأزرار</w:t>
      </w:r>
    </w:p>
    <w:p>
      <w:pPr>
        <w:pStyle w:val="ListNumber"/>
        <w:jc w:val="right"/>
      </w:pPr>
      <w:r>
        <w:t>**تدرج أخضر إيزي جاز (Teal #4A9B8E → Lime #A4D65E)**</w:t>
      </w:r>
    </w:p>
    <w:p>
      <w:pPr>
        <w:pStyle w:val="ListBullet"/>
        <w:jc w:val="right"/>
      </w:pPr>
      <w:r>
        <w:t>المعنى: السلامة، صديق البيئة، الطاقة النظيفة، النمو، الانتعاش</w:t>
      </w:r>
    </w:p>
    <w:p>
      <w:pPr>
        <w:pStyle w:val="ListBullet"/>
        <w:jc w:val="right"/>
      </w:pPr>
      <w:r>
        <w:t>الاستخدام: أيقونة اللهب، السهم الدائري، الشعار، النقاط البارزة، CTAs</w:t>
      </w:r>
    </w:p>
    <w:p>
      <w:pPr>
        <w:pStyle w:val="Heading3"/>
        <w:jc w:val="right"/>
      </w:pPr>
      <w:r>
        <w:t>الشخصية والقيم</w:t>
      </w:r>
    </w:p>
    <w:p>
      <w:pPr>
        <w:jc w:val="right"/>
      </w:pPr>
      <w:r/>
      <w:r>
        <w:rPr>
          <w:b/>
        </w:rPr>
        <w:t>النموذج الأصلي للعلامة التجارية:</w:t>
      </w:r>
      <w:r>
        <w:t xml:space="preserve"> المبتكر × الراعي</w:t>
      </w:r>
    </w:p>
    <w:p>
      <w:pPr>
        <w:jc w:val="right"/>
      </w:pPr>
      <w:r/>
      <w:r>
        <w:rPr>
          <w:b/>
        </w:rPr>
        <w:t>صفات الشخصية:</w:t>
      </w:r>
      <w:r/>
    </w:p>
    <w:p>
      <w:pPr>
        <w:pStyle w:val="ListBullet"/>
        <w:jc w:val="right"/>
      </w:pPr>
      <w:r>
        <w:t>**موثوق** — متسق، يمكن الاعتماد عليه، جدير بالثقة</w:t>
      </w:r>
    </w:p>
    <w:p>
      <w:pPr>
        <w:pStyle w:val="ListBullet"/>
        <w:jc w:val="right"/>
      </w:pPr>
      <w:r>
        <w:t>**عصري** — متقدم تقنياً، رقمي أصلي، مبتكر</w:t>
      </w:r>
    </w:p>
    <w:p>
      <w:pPr>
        <w:pStyle w:val="ListBullet"/>
        <w:jc w:val="right"/>
      </w:pPr>
      <w:r>
        <w:t>**السلامة أولاً** — حامٍ، مسؤول، معتمد</w:t>
      </w:r>
    </w:p>
    <w:p>
      <w:pPr>
        <w:pStyle w:val="ListBullet"/>
        <w:jc w:val="right"/>
      </w:pPr>
      <w:r>
        <w:t>**متاح** — سهل، بسيط، سهل الاستخدام</w:t>
      </w:r>
    </w:p>
    <w:p>
      <w:pPr>
        <w:pStyle w:val="ListBullet"/>
        <w:jc w:val="right"/>
      </w:pPr>
      <w:r>
        <w:t>**متميز** — جودة عالية، محترف، راقٍ</w:t>
      </w:r>
    </w:p>
    <w:p>
      <w:pPr>
        <w:jc w:val="right"/>
      </w:pPr>
      <w:r/>
      <w:r>
        <w:rPr>
          <w:b/>
        </w:rPr>
        <w:t>القيم الأساسية:</w:t>
      </w:r>
      <w:r/>
    </w:p>
    <w:p>
      <w:pPr>
        <w:pStyle w:val="ListNumber"/>
        <w:jc w:val="right"/>
      </w:pPr>
      <w:r>
        <w:t>**السلامة فوق كل شيء** — لا تساوم أبداً على جودة الأسطوانة أو معايير التوصيل</w:t>
      </w:r>
    </w:p>
    <w:p>
      <w:pPr>
        <w:pStyle w:val="ListNumber"/>
        <w:jc w:val="right"/>
      </w:pPr>
      <w:r>
        <w:t>**الشفافية** — أسعار واضحة، لا رسوم مخفية، تواصل مفتوح</w:t>
      </w:r>
    </w:p>
    <w:p>
      <w:pPr>
        <w:pStyle w:val="ListNumber"/>
        <w:jc w:val="right"/>
      </w:pPr>
      <w:r>
        <w:t>**الابتكار** — تبنّي التكنولوجيا لتحسين تجربة العميل</w:t>
      </w:r>
    </w:p>
    <w:p>
      <w:pPr>
        <w:pStyle w:val="ListNumber"/>
        <w:jc w:val="right"/>
      </w:pPr>
      <w:r>
        <w:t>**الاستدامة** — مواد مركّبة صديقة للبيئة، عقلية الاقتصاد الدائري</w:t>
      </w:r>
    </w:p>
    <w:p>
      <w:pPr>
        <w:pStyle w:val="ListNumber"/>
        <w:jc w:val="right"/>
      </w:pPr>
      <w:r>
        <w:t>**محوره العميل** — البناء للمستخدم، وليس للنظام</w:t>
      </w:r>
    </w:p>
    <w:p>
      <w:pPr>
        <w:pStyle w:val="Heading3"/>
        <w:jc w:val="right"/>
      </w:pPr>
      <w:r>
        <w:t>نبرة الصوت</w:t>
      </w:r>
    </w:p>
    <w:p>
      <w:pPr>
        <w:jc w:val="right"/>
      </w:pPr>
      <w:r/>
      <w:r>
        <w:rPr>
          <w:b/>
        </w:rPr>
        <w:t>احترافية ولكن ودودة. واثقة دون غرور. معلوماتية دون تقنية مفرطة.</w:t>
      </w:r>
      <w:r/>
    </w:p>
    <w:p>
      <w:pPr>
        <w:jc w:val="right"/>
      </w:pPr>
      <w:r>
        <w:t xml:space="preserve">✅ </w:t>
      </w:r>
      <w:r>
        <w:rPr>
          <w:b/>
        </w:rPr>
        <w:t>افعل:</w:t>
      </w:r>
      <w:r/>
    </w:p>
    <w:p>
      <w:pPr>
        <w:pStyle w:val="ListBullet"/>
        <w:jc w:val="right"/>
      </w:pPr>
      <w:r>
        <w:t>استخدم لغة واضحة وبسيطة</w:t>
      </w:r>
    </w:p>
    <w:p>
      <w:pPr>
        <w:pStyle w:val="ListBullet"/>
        <w:jc w:val="right"/>
      </w:pPr>
      <w:r>
        <w:t>كن مباشراً وصادقاً</w:t>
      </w:r>
    </w:p>
    <w:p>
      <w:pPr>
        <w:pStyle w:val="ListBullet"/>
        <w:jc w:val="right"/>
      </w:pPr>
      <w:r>
        <w:t>أظهر الخبرة من خلال الأدلة (الشهادات، البيانات)</w:t>
      </w:r>
    </w:p>
    <w:p>
      <w:pPr>
        <w:pStyle w:val="ListBullet"/>
        <w:jc w:val="right"/>
      </w:pPr>
      <w:r>
        <w:t>قدّم الفوائد أولاً، وليس الميزات</w:t>
      </w:r>
    </w:p>
    <w:p>
      <w:pPr>
        <w:jc w:val="right"/>
      </w:pPr>
      <w:r>
        <w:t xml:space="preserve">❌ </w:t>
      </w:r>
      <w:r>
        <w:rPr>
          <w:b/>
        </w:rPr>
        <w:t>لا تفعل:</w:t>
      </w:r>
      <w:r/>
    </w:p>
    <w:p>
      <w:pPr>
        <w:pStyle w:val="ListBullet"/>
        <w:jc w:val="right"/>
      </w:pPr>
      <w:r>
        <w:t>استخدم المصطلحات المؤسسية أو الكلمات الطنانة</w:t>
      </w:r>
    </w:p>
    <w:p>
      <w:pPr>
        <w:pStyle w:val="ListBullet"/>
        <w:jc w:val="right"/>
      </w:pPr>
      <w:r>
        <w:t>المبالغة في الشرح أو التنازل</w:t>
      </w:r>
    </w:p>
    <w:p>
      <w:pPr>
        <w:pStyle w:val="ListBullet"/>
        <w:jc w:val="right"/>
      </w:pPr>
      <w:r>
        <w:t>تقديم ادعاءات لا يمكن التحقق منها</w:t>
      </w:r>
    </w:p>
    <w:p>
      <w:pPr>
        <w:pStyle w:val="ListBullet"/>
        <w:jc w:val="right"/>
      </w:pPr>
      <w:r>
        <w:t>اتخاذ موقف دفاعي حول التسعير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11. التواصل والاتصال</w:t>
      </w:r>
    </w:p>
    <w:p>
      <w:pPr>
        <w:pStyle w:val="Heading3"/>
        <w:jc w:val="right"/>
      </w:pPr>
      <w:r>
        <w:t>الشركة الأم</w:t>
      </w:r>
    </w:p>
    <w:p>
      <w:pPr>
        <w:jc w:val="right"/>
      </w:pPr>
      <w:r/>
      <w:r>
        <w:rPr>
          <w:b/>
        </w:rPr>
        <w:t>TreeGas Industrial Group</w:t>
      </w:r>
      <w:r/>
    </w:p>
    <w:p>
      <w:pPr>
        <w:pStyle w:val="ListBullet"/>
        <w:jc w:val="right"/>
      </w:pPr>
      <w:r>
        <w:t>منشأة التصنيع: مصنع أسطوانات مركّبة Type IV بقيمة 13.2 مليون دولار</w:t>
      </w:r>
    </w:p>
    <w:p>
      <w:pPr>
        <w:pStyle w:val="ListBullet"/>
        <w:jc w:val="right"/>
      </w:pPr>
      <w:r>
        <w:t>الموقع: المنطقة الاقتصادية لقناة السويس (SCZone)، العين السخنة</w:t>
      </w:r>
    </w:p>
    <w:p>
      <w:pPr>
        <w:pStyle w:val="ListBullet"/>
        <w:jc w:val="right"/>
      </w:pPr>
      <w:r>
        <w:t>شريك التكامل الرأسي (مورّد حصري)</w:t>
      </w:r>
    </w:p>
    <w:p>
      <w:pPr>
        <w:pStyle w:val="Heading3"/>
        <w:jc w:val="right"/>
      </w:pPr>
      <w:r>
        <w:t>الشركاء الاستراتيجيون</w:t>
      </w:r>
    </w:p>
    <w:p>
      <w:pPr>
        <w:jc w:val="right"/>
      </w:pPr>
      <w:r/>
      <w:r>
        <w:rPr>
          <w:b/>
        </w:rPr>
        <w:t>Strike Media</w:t>
      </w:r>
      <w:r>
        <w:t xml:space="preserve"> (التسويق والعلامة التجارية)</w:t>
      </w:r>
    </w:p>
    <w:p>
      <w:pPr>
        <w:pStyle w:val="ListBullet"/>
        <w:jc w:val="right"/>
      </w:pPr>
      <w:r>
        <w:t>الاستراتيجية الإبداعية، الحملات، موقع العلامة التجارية</w:t>
      </w:r>
    </w:p>
    <w:p>
      <w:pPr>
        <w:pStyle w:val="ListBullet"/>
        <w:jc w:val="right"/>
      </w:pPr>
      <w:r>
        <w:t>الرئيس التنفيذي: محمد الزيات (رئيس مجلس إدارة إيزي جاز)</w:t>
      </w:r>
    </w:p>
    <w:p>
      <w:pPr>
        <w:pStyle w:val="Heading3"/>
        <w:jc w:val="right"/>
      </w:pPr>
      <w:r>
        <w:t>علاقات المستثمرين</w:t>
      </w:r>
    </w:p>
    <w:p>
      <w:pPr>
        <w:pStyle w:val="ListBullet"/>
        <w:jc w:val="right"/>
      </w:pPr>
      <w:r>
        <w:t>**الحالة الحالية:** ما قبل التمويل / ممول ذاتياً</w:t>
      </w:r>
    </w:p>
    <w:p>
      <w:pPr>
        <w:pStyle w:val="ListBullet"/>
        <w:jc w:val="right"/>
      </w:pPr>
      <w:r>
        <w:t>**هدف جمع التبرعات:** 15-20 مليون جنيه جولة تمويل أولية</w:t>
      </w:r>
    </w:p>
    <w:p>
      <w:pPr>
        <w:pStyle w:val="ListBullet"/>
        <w:jc w:val="right"/>
      </w:pPr>
      <w:r>
        <w:t>**استخدام الأموال:** تطوير المنصة، إطلاق السوق، شبكة الموزعين، رأس المال العامل</w:t>
      </w:r>
    </w:p>
    <w:p>
      <w:pPr>
        <w:pStyle w:val="Heading3"/>
        <w:jc w:val="right"/>
      </w:pPr>
      <w:r>
        <w:t>التنظيم والامتثال</w:t>
      </w:r>
    </w:p>
    <w:p>
      <w:pPr>
        <w:pStyle w:val="ListBullet"/>
        <w:jc w:val="right"/>
      </w:pPr>
      <w:r>
        <w:t>**رخصة العمل:** قيد التسجيل الرسمي</w:t>
      </w:r>
    </w:p>
    <w:p>
      <w:pPr>
        <w:pStyle w:val="ListBullet"/>
        <w:jc w:val="right"/>
      </w:pPr>
      <w:r>
        <w:t>**تصاريح توزيع الغاز:** منسقة من خلال تراخيص TreeGas</w:t>
      </w:r>
    </w:p>
    <w:p>
      <w:pPr>
        <w:pStyle w:val="ListBullet"/>
        <w:jc w:val="right"/>
      </w:pPr>
      <w:r>
        <w:t>**عتبة ضريبة القيمة المضافة:** 500 ألف جنيه/سنة (المراقبة لتشغيل الامتثال)</w:t>
      </w:r>
    </w:p>
    <w:p>
      <w:pPr>
        <w:pStyle w:val="ListBullet"/>
        <w:jc w:val="right"/>
      </w:pPr>
      <w:r>
        <w:t>**شهادات السلامة:** أسطوانات مركّبة Type IV (معايير دولية)</w:t>
      </w:r>
    </w:p>
    <w:p>
      <w:pPr>
        <w:pStyle w:val="ListBullet"/>
        <w:jc w:val="right"/>
      </w:pPr>
      <w:r>
        <w:t>**التأمين:** مسؤولية تجارية عامة، مسؤولية المنتج، تأمين الأسطول</w:t>
      </w:r>
    </w:p>
    <w:p>
      <w:pPr>
        <w:pStyle w:val="Heading3"/>
        <w:jc w:val="right"/>
      </w:pPr>
      <w:r>
        <w:t>معلومات الاتصال</w:t>
      </w:r>
    </w:p>
    <w:p>
      <w:pPr>
        <w:jc w:val="right"/>
      </w:pPr>
      <w:r/>
      <w:r>
        <w:rPr>
          <w:b/>
        </w:rPr>
        <w:t>الموقع الإلكتروني:</w:t>
      </w:r>
      <w:r>
        <w:t xml:space="preserve"> www.ezygas.eg</w:t>
      </w:r>
    </w:p>
    <w:p>
      <w:pPr>
        <w:jc w:val="right"/>
      </w:pPr>
      <w:r/>
      <w:r>
        <w:rPr>
          <w:b/>
        </w:rPr>
        <w:t>الهاتف:</w:t>
      </w:r>
      <w:r>
        <w:t xml:space="preserve"> +20 100 123 4567</w:t>
      </w:r>
    </w:p>
    <w:p>
      <w:pPr>
        <w:jc w:val="right"/>
      </w:pPr>
      <w:r/>
      <w:r>
        <w:rPr>
          <w:b/>
        </w:rPr>
        <w:t>البريد الإلكتروني:</w:t>
      </w:r>
      <w:r>
        <w:t xml:space="preserve"> info@ezygas.eg</w:t>
      </w:r>
    </w:p>
    <w:p>
      <w:pPr>
        <w:jc w:val="right"/>
      </w:pPr>
      <w:r/>
      <w:r>
        <w:rPr>
          <w:b/>
        </w:rPr>
        <w:t>واتساب:</w:t>
      </w:r>
      <w:r>
        <w:t xml:space="preserve"> +20 100 123 4567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12. التحديات والمخاطر</w:t>
      </w:r>
    </w:p>
    <w:p>
      <w:pPr>
        <w:pStyle w:val="Heading3"/>
        <w:jc w:val="right"/>
      </w:pPr>
      <w:r>
        <w:t>المخاطر الحاسمة المحددة</w:t>
      </w:r>
    </w:p>
    <w:p>
      <w:pPr>
        <w:pStyle w:val="ListNumber"/>
        <w:jc w:val="right"/>
      </w:pPr>
      <w:r>
        <w:t>**انخفاض قيمة الجنيه المصري** 🔴 عالي</w:t>
      </w:r>
    </w:p>
    <w:p>
      <w:pPr>
        <w:pStyle w:val="ListBullet"/>
        <w:jc w:val="right"/>
      </w:pPr>
      <w:r>
        <w:t>السعر الحالي: 52.3 جنيه/دولار</w:t>
      </w:r>
    </w:p>
    <w:p>
      <w:pPr>
        <w:pStyle w:val="ListBullet"/>
        <w:jc w:val="right"/>
      </w:pPr>
      <w:r>
        <w:t>المخاطر إذا تجاوز 55-60</w:t>
      </w:r>
    </w:p>
    <w:p>
      <w:pPr>
        <w:pStyle w:val="ListBullet"/>
        <w:jc w:val="right"/>
      </w:pPr>
      <w:r>
        <w:t>**التخفيف:** احتياطي بالدولار الأمريكي (2-3 أشهر تكاليف تشغيلية)</w:t>
      </w:r>
    </w:p>
    <w:p>
      <w:pPr>
        <w:pStyle w:val="ListNumber"/>
        <w:jc w:val="right"/>
      </w:pPr>
      <w:r>
        <w:t>**سرعة النشر** 🟡 متوسط-عالي</w:t>
      </w:r>
    </w:p>
    <w:p>
      <w:pPr>
        <w:pStyle w:val="ListBullet"/>
        <w:jc w:val="right"/>
      </w:pPr>
      <w:r>
        <w:t>CAC (تكلفة اكتساب العميل) غير منمذج بدقة</w:t>
      </w:r>
    </w:p>
    <w:p>
      <w:pPr>
        <w:pStyle w:val="ListBullet"/>
        <w:jc w:val="right"/>
      </w:pPr>
      <w:r>
        <w:t>ميزانية التسويق رقيقة (2 مليون جنيه لـ100 ألف أسطوانة)</w:t>
      </w:r>
    </w:p>
    <w:p>
      <w:pPr>
        <w:pStyle w:val="ListBullet"/>
        <w:jc w:val="right"/>
      </w:pPr>
      <w:r>
        <w:t>**التخفيف:** شراكات المطورين (CAC شبه صفري)</w:t>
      </w:r>
    </w:p>
    <w:p>
      <w:pPr>
        <w:pStyle w:val="ListNumber"/>
        <w:jc w:val="right"/>
      </w:pPr>
      <w:r>
        <w:t>**افتراض معدل إعادة التعبئة** 🟡 متوسط</w:t>
      </w:r>
    </w:p>
    <w:p>
      <w:pPr>
        <w:pStyle w:val="ListBullet"/>
        <w:jc w:val="right"/>
      </w:pPr>
      <w:r>
        <w:t>خط أساس 14 إعادة تعبئة/سنة</w:t>
      </w:r>
    </w:p>
    <w:p>
      <w:pPr>
        <w:pStyle w:val="ListBullet"/>
        <w:jc w:val="right"/>
      </w:pPr>
      <w:r>
        <w:t>إذا انخفض إلى 10-12، تنخفض الهوامش 14-28%</w:t>
      </w:r>
    </w:p>
    <w:p>
      <w:pPr>
        <w:pStyle w:val="ListBullet"/>
        <w:jc w:val="right"/>
      </w:pPr>
      <w:r>
        <w:t>**التخفيف:** التحقق من البيانات (مسح مستخدمي الغاز المتميزين)</w:t>
      </w:r>
    </w:p>
    <w:p>
      <w:pPr>
        <w:pStyle w:val="ListNumber"/>
        <w:jc w:val="right"/>
      </w:pPr>
      <w:r>
        <w:t>**التعقيد التشغيلي** 🟡 متوسط</w:t>
      </w:r>
    </w:p>
    <w:p>
      <w:pPr>
        <w:pStyle w:val="ListBullet"/>
        <w:jc w:val="right"/>
      </w:pPr>
      <w:r>
        <w:t>توصيل الميل الأخير، الاحتفاظ بالسائق، الامتثال لاتفاقية مستوى الخدمة</w:t>
      </w:r>
    </w:p>
    <w:p>
      <w:pPr>
        <w:pStyle w:val="ListBullet"/>
        <w:jc w:val="right"/>
      </w:pPr>
      <w:r>
        <w:t>**التخفيف:** نظام Layer 1 (حد نقدي، مراقبة فورية)</w:t>
      </w:r>
    </w:p>
    <w:p>
      <w:pPr>
        <w:pStyle w:val="ListNumber"/>
        <w:jc w:val="right"/>
      </w:pPr>
      <w:r>
        <w:t>**البيئة الكلية المصرية** 🟡 متوسط</w:t>
      </w:r>
    </w:p>
    <w:p>
      <w:pPr>
        <w:pStyle w:val="ListBullet"/>
        <w:jc w:val="right"/>
      </w:pPr>
      <w:r>
        <w:t>تقلبات سياسية/اقتصادية قد تتجاوز التميز التشغيلي</w:t>
      </w:r>
    </w:p>
    <w:p>
      <w:pPr>
        <w:pStyle w:val="ListBullet"/>
        <w:jc w:val="right"/>
      </w:pPr>
      <w:r>
        <w:t>**التخفيف:** الاسترداد المعجّل (الهدف &lt;18 شهر)</w:t>
      </w:r>
    </w:p>
    <w:p>
      <w:pPr>
        <w:pStyle w:val="Heading3"/>
        <w:jc w:val="right"/>
      </w:pPr>
      <w:r>
        <w:t>استراتيجيات التخفيف الشاملة</w:t>
      </w:r>
    </w:p>
    <w:p>
      <w:pPr>
        <w:pStyle w:val="ListBullet"/>
        <w:jc w:val="right"/>
      </w:pPr>
      <w:r>
        <w:t>✅ تحوط بالدولار الأمريكي</w:t>
      </w:r>
    </w:p>
    <w:p>
      <w:pPr>
        <w:pStyle w:val="ListBullet"/>
        <w:jc w:val="right"/>
      </w:pPr>
      <w:r>
        <w:t>✅ التركيز على B2B (أقل حساسية للسعر، هوامش أعلى)</w:t>
      </w:r>
    </w:p>
    <w:p>
      <w:pPr>
        <w:pStyle w:val="ListBullet"/>
        <w:jc w:val="right"/>
      </w:pPr>
      <w:r>
        <w:t>✅ شراكات المطورين (NAC، القاهرة الجديدة، الساحل الشمالي)</w:t>
      </w:r>
    </w:p>
    <w:p>
      <w:pPr>
        <w:pStyle w:val="ListBullet"/>
        <w:jc w:val="right"/>
      </w:pPr>
      <w:r>
        <w:t>✅ الاسترداد المعجّل (الهدف &lt;18 شهر مقابل 20 الحالة الأساسية)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13. فرص الإيرادات غير المستغلة</w:t>
      </w:r>
    </w:p>
    <w:p>
      <w:pPr>
        <w:pStyle w:val="Heading3"/>
        <w:jc w:val="right"/>
      </w:pPr>
      <w:r>
        <w:t>فرص التوسع الاستراتيجي</w:t>
      </w:r>
    </w:p>
    <w:p>
      <w:pPr>
        <w:pStyle w:val="ListNumber"/>
        <w:jc w:val="right"/>
      </w:pPr>
      <w:r>
        <w:t>**B2B التجاري** (+25-35% نمو محتمل)</w:t>
      </w:r>
    </w:p>
    <w:p>
      <w:pPr>
        <w:pStyle w:val="ListBullet"/>
        <w:jc w:val="right"/>
      </w:pPr>
      <w:r>
        <w:t>المطاعم/الفنادق: 30-60 إعادة تعبئة/سنة (مقابل 14 سكني)</w:t>
      </w:r>
    </w:p>
    <w:p>
      <w:pPr>
        <w:pStyle w:val="ListBullet"/>
        <w:jc w:val="right"/>
      </w:pPr>
      <w:r>
        <w:t>هوامش أعلى، استخدام أكثر تكراراً</w:t>
      </w:r>
    </w:p>
    <w:p>
      <w:pPr>
        <w:pStyle w:val="ListBullet"/>
        <w:jc w:val="right"/>
      </w:pPr>
      <w:r>
        <w:t>**الإمكانية:** 200 حساب تجاري في السنة الأولى</w:t>
      </w:r>
    </w:p>
    <w:p>
      <w:pPr>
        <w:pStyle w:val="ListNumber"/>
        <w:jc w:val="right"/>
      </w:pPr>
      <w:r>
        <w:t>**شراكات العقارات**</w:t>
      </w:r>
    </w:p>
    <w:p>
      <w:pPr>
        <w:pStyle w:val="ListBullet"/>
        <w:jc w:val="right"/>
      </w:pPr>
      <w:r>
        <w:t>NAC (العاصمة الإدارية)، القاهرة الجديدة، الساحل الشمالي</w:t>
      </w:r>
    </w:p>
    <w:p>
      <w:pPr>
        <w:pStyle w:val="ListBullet"/>
        <w:jc w:val="right"/>
      </w:pPr>
      <w:r>
        <w:t>التطويرات الحصرية = CAC شبه صفري</w:t>
      </w:r>
    </w:p>
    <w:p>
      <w:pPr>
        <w:pStyle w:val="ListBullet"/>
        <w:jc w:val="right"/>
      </w:pPr>
      <w:r>
        <w:t>**الإمكانية:** 5,000-15,000 أسطوانة من شراكات المطورين</w:t>
      </w:r>
    </w:p>
    <w:p>
      <w:pPr>
        <w:pStyle w:val="ListNumber"/>
        <w:jc w:val="right"/>
      </w:pPr>
      <w:r>
        <w:t>**شبكة الموزعين الفرعيين**</w:t>
      </w:r>
    </w:p>
    <w:p>
      <w:pPr>
        <w:pStyle w:val="ListBullet"/>
        <w:jc w:val="right"/>
      </w:pPr>
      <w:r>
        <w:t>20-30 موزع فرعي</w:t>
      </w:r>
    </w:p>
    <w:p>
      <w:pPr>
        <w:pStyle w:val="ListBullet"/>
        <w:jc w:val="right"/>
      </w:pPr>
      <w:r>
        <w:t>**الإمكانية:** وصول إلى 200,000+ أسطوانة</w:t>
      </w:r>
    </w:p>
    <w:p>
      <w:pPr>
        <w:pStyle w:val="ListNumber"/>
        <w:jc w:val="right"/>
      </w:pPr>
      <w:r>
        <w:t>**بيع إضافي لمنتجات السلامة**</w:t>
      </w:r>
    </w:p>
    <w:p>
      <w:pPr>
        <w:pStyle w:val="ListBullet"/>
        <w:jc w:val="right"/>
      </w:pPr>
      <w:r>
        <w:t>كواشف الغاز، منظمات، أجهزة استشعار IoT</w:t>
      </w:r>
    </w:p>
    <w:p>
      <w:pPr>
        <w:pStyle w:val="ListBullet"/>
        <w:jc w:val="right"/>
      </w:pPr>
      <w:r>
        <w:t>**الإمكانية:** 3-6 مليون جنيه/سنة إيرادات إضافية</w:t>
      </w:r>
    </w:p>
    <w:p>
      <w:pPr>
        <w:pStyle w:val="ListNumber"/>
        <w:jc w:val="right"/>
      </w:pPr>
      <w:r>
        <w:t>**السياحة/الضيافة**</w:t>
      </w:r>
    </w:p>
    <w:p>
      <w:pPr>
        <w:pStyle w:val="ListBullet"/>
        <w:jc w:val="right"/>
      </w:pPr>
      <w:r>
        <w:t>الساحل الشمالي، البحر الأحمر، سيناء</w:t>
      </w:r>
    </w:p>
    <w:p>
      <w:pPr>
        <w:pStyle w:val="ListBullet"/>
        <w:jc w:val="right"/>
      </w:pPr>
      <w:r>
        <w:t>موسمي، عالي القيمة، استهلاك كثيف</w:t>
      </w:r>
    </w:p>
    <w:p>
      <w:pPr>
        <w:pStyle w:val="ListNumber"/>
        <w:jc w:val="right"/>
      </w:pPr>
      <w:r>
        <w:t>**اشتراك SmartRefill**</w:t>
      </w:r>
    </w:p>
    <w:p>
      <w:pPr>
        <w:pStyle w:val="ListBullet"/>
        <w:jc w:val="right"/>
      </w:pPr>
      <w:r>
        <w:t>تحليلات تنبؤية، جدولة تلقائية</w:t>
      </w:r>
    </w:p>
    <w:p>
      <w:pPr>
        <w:pStyle w:val="ListBullet"/>
        <w:jc w:val="right"/>
      </w:pPr>
      <w:r>
        <w:t>نموذج إيرادات متكررة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14. العناية الواجبة قبل التوقيع</w:t>
      </w:r>
    </w:p>
    <w:p>
      <w:pPr>
        <w:pStyle w:val="Heading3"/>
        <w:jc w:val="right"/>
      </w:pPr>
      <w:r>
        <w:t>قائمة 13 نقطة فحص (للموزعين المحتملين)</w:t>
      </w:r>
    </w:p>
    <w:p>
      <w:pPr>
        <w:jc w:val="right"/>
      </w:pPr>
      <w:r>
        <w:t>#### مواقف حاسمة ❌ لا تفاوض</w:t>
      </w:r>
    </w:p>
    <w:p>
      <w:pPr>
        <w:pStyle w:val="ListNumber"/>
        <w:jc w:val="right"/>
      </w:pPr>
      <w:r>
        <w:t>✅ ملحق موقّع بالمقابل قبل أي دفعة وديعة</w:t>
      </w:r>
    </w:p>
    <w:p>
      <w:pPr>
        <w:pStyle w:val="ListNumber"/>
        <w:jc w:val="right"/>
      </w:pPr>
      <w:r>
        <w:t>✅ الملحق أ (الحدود الجغرافية) مع إحداثيات GPS</w:t>
      </w:r>
    </w:p>
    <w:p>
      <w:pPr>
        <w:pStyle w:val="ListNumber"/>
        <w:jc w:val="right"/>
      </w:pPr>
      <w:r>
        <w:t>✅ الملحق ب (جدول الأداء / مؤشرات الأداء الرئيسية)</w:t>
      </w:r>
    </w:p>
    <w:p>
      <w:pPr>
        <w:pStyle w:val="ListNumber"/>
        <w:jc w:val="right"/>
      </w:pPr>
      <w:r>
        <w:t>✅ فترة سماح إقليمية مدتها 12 شهراً مؤكدة كتابياً</w:t>
      </w:r>
    </w:p>
    <w:p>
      <w:pPr>
        <w:pStyle w:val="ListNumber"/>
        <w:jc w:val="right"/>
      </w:pPr>
      <w:r>
        <w:t>✅ حد تكلفة الإلغاء بنسبة 2% معترف به</w:t>
      </w:r>
    </w:p>
    <w:p>
      <w:pPr>
        <w:pStyle w:val="ListNumber"/>
        <w:jc w:val="right"/>
      </w:pPr>
      <w:r>
        <w:t>✅ تصحيح إيداع الدخول إلى 20% (وليس 25%) مؤكد</w:t>
      </w:r>
    </w:p>
    <w:p>
      <w:pPr>
        <w:pStyle w:val="ListNumber"/>
        <w:jc w:val="right"/>
      </w:pPr>
      <w:r>
        <w:t>✅ شروط مراجعة السعر (إشعار 60 يوماً، حد 15%، مرتبط بـArgus)</w:t>
      </w:r>
    </w:p>
    <w:p>
      <w:pPr>
        <w:pStyle w:val="ListNumber"/>
        <w:jc w:val="right"/>
      </w:pPr>
      <w:r>
        <w:t>✅ اتفاقية مستوى خدمة التطبيق (99.5% وقت التشغيل) مؤكدة</w:t>
      </w:r>
    </w:p>
    <w:p>
      <w:pPr>
        <w:pStyle w:val="ListNumber"/>
        <w:jc w:val="right"/>
      </w:pPr>
      <w:r>
        <w:t>✅ مدة العقد (5 سنوات)، التجديد، وحقوق الخروج مؤكدة</w:t>
      </w:r>
    </w:p>
    <w:p>
      <w:pPr>
        <w:jc w:val="right"/>
      </w:pPr>
      <w:r>
        <w:t>#### التحقق المطلوب 🔍 قبل التوقيع</w:t>
      </w:r>
    </w:p>
    <w:p>
      <w:pPr>
        <w:pStyle w:val="ListNumber"/>
        <w:jc w:val="right"/>
      </w:pPr>
      <w:r>
        <w:t>✅ عرض توضيحي للمنصة + تدقيق تقني</w:t>
      </w:r>
    </w:p>
    <w:p>
      <w:pPr>
        <w:pStyle w:val="ListNumber"/>
        <w:jc w:val="right"/>
      </w:pPr>
      <w:r>
        <w:t>✅ التحقق من معدل إعادة التعبئة (مسح 50-100 مستخدم غاز متميز)</w:t>
      </w:r>
    </w:p>
    <w:p>
      <w:pPr>
        <w:pStyle w:val="ListNumber"/>
        <w:jc w:val="right"/>
      </w:pPr>
      <w:r>
        <w:t>✅ نموذج CAC (تكلفة اكتساب العميل)</w:t>
      </w:r>
    </w:p>
    <w:p>
      <w:pPr>
        <w:pStyle w:val="ListNumber"/>
        <w:jc w:val="right"/>
      </w:pPr>
      <w:r>
        <w:t>✅ تحليل المشهد التنافسي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15. الحكم النهائي</w:t>
      </w:r>
    </w:p>
    <w:p>
      <w:pPr>
        <w:pStyle w:val="Heading3"/>
        <w:jc w:val="right"/>
      </w:pPr>
      <w:r>
        <w:t>✅ المضي قدماً مع المستوى A — بشروط</w:t>
      </w:r>
    </w:p>
    <w:p>
      <w:pPr>
        <w:jc w:val="right"/>
      </w:pPr>
      <w:r/>
      <w:r>
        <w:rPr>
          <w:b/>
        </w:rPr>
        <w:t>النتيجة الإجمالية:</w:t>
      </w:r>
      <w:r>
        <w:t xml:space="preserve"> 7.5/10</w:t>
      </w:r>
    </w:p>
    <w:p>
      <w:pPr>
        <w:jc w:val="right"/>
      </w:pPr>
      <w:r/>
      <w:r>
        <w:rPr>
          <w:b/>
        </w:rPr>
        <w:t>الثقة:</w:t>
      </w:r>
      <w:r>
        <w:t xml:space="preserve"> نموذج عمل قوي، عوائد استثنائية *إذا* نُفّذ النشر بنجاح</w:t>
      </w:r>
    </w:p>
    <w:p>
      <w:pPr>
        <w:jc w:val="right"/>
      </w:pPr>
      <w:r/>
      <w:r>
        <w:rPr>
          <w:b/>
        </w:rPr>
        <w:t>القلق الرئيسي:</w:t>
      </w:r>
      <w:r>
        <w:t xml:space="preserve"> مخاطر مصر الكلية (تقلب الجنيه المصري) قد تتجاوز التميز التشغيلي</w:t>
      </w:r>
    </w:p>
    <w:p>
      <w:pPr>
        <w:jc w:val="right"/>
      </w:pPr>
      <w:r/>
      <w:r>
        <w:rPr>
          <w:b/>
        </w:rPr>
        <w:t>التخفيف المطلوب:</w:t>
      </w:r>
      <w:r/>
    </w:p>
    <w:p>
      <w:pPr>
        <w:pStyle w:val="ListBullet"/>
        <w:jc w:val="right"/>
      </w:pPr>
      <w:r>
        <w:t>احتياطي بالدولار الأمريكي</w:t>
      </w:r>
    </w:p>
    <w:p>
      <w:pPr>
        <w:pStyle w:val="ListBullet"/>
        <w:jc w:val="right"/>
      </w:pPr>
      <w:r>
        <w:t>التركيز على B2B (أقل حساسية للسعر)</w:t>
      </w:r>
    </w:p>
    <w:p>
      <w:pPr>
        <w:pStyle w:val="ListBullet"/>
        <w:jc w:val="right"/>
      </w:pPr>
      <w:r>
        <w:t>الاسترداد المعجّل (الهدف &lt;18 شهر)</w:t>
      </w:r>
    </w:p>
    <w:p>
      <w:pPr>
        <w:pStyle w:val="ListBullet"/>
        <w:jc w:val="right"/>
      </w:pPr>
      <w:r>
        <w:t>شراكات المطورين (NAC، القاهرة الجديدة)</w:t>
      </w:r>
    </w:p>
    <w:p>
      <w:pPr>
        <w:pStyle w:val="Heading3"/>
        <w:jc w:val="right"/>
      </w:pPr>
      <w:r>
        <w:t>تحرّك بقناعة، ولكن بعيون مفتوحة.</w:t>
      </w:r>
    </w:p>
    <w:p>
      <w:pPr>
        <w:jc w:val="right"/>
      </w:pPr>
      <w:r/>
      <w:r>
        <w:rPr>
          <w:b/>
        </w:rPr>
        <w:t>الفارق الأساسي:</w:t>
      </w:r>
      <w:r/>
    </w:p>
    <w:p>
      <w:pPr>
        <w:jc w:val="right"/>
      </w:pPr>
      <w:r>
        <w:t>موزع الغاز الوحيد في مصر مع أسطوانات مركّبة 100% مضادة للانفجار + تتبع فوري بإنترنت الأشياء</w:t>
      </w:r>
    </w:p>
    <w:p>
      <w:pPr>
        <w:jc w:val="right"/>
      </w:pPr>
      <w:r/>
      <w:r>
        <w:rPr>
          <w:b/>
        </w:rPr>
        <w:t>محفز دخول السوق:</w:t>
      </w:r>
      <w:r/>
    </w:p>
    <w:p>
      <w:pPr>
        <w:jc w:val="right"/>
      </w:pPr>
      <w:r>
        <w:t>خفض الدعم في 10 مارس 2026 (سعر أسطوانة الصلب +22%، مما ضيّق فجوة العلاوة من 91% إلى 56%)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  <w:jc w:val="right"/>
      </w:pPr>
      <w:r>
        <w:t>مالك المستند</w:t>
      </w:r>
    </w:p>
    <w:p>
      <w:pPr>
        <w:jc w:val="right"/>
      </w:pPr>
      <w:r/>
      <w:r>
        <w:rPr>
          <w:b/>
        </w:rPr>
        <w:t>مكتب الرئيس</w:t>
      </w:r>
      <w:r/>
    </w:p>
    <w:p>
      <w:pPr>
        <w:jc w:val="right"/>
      </w:pPr>
      <w:r/>
      <w:r>
        <w:rPr>
          <w:b/>
        </w:rPr>
        <w:t>التوزيع:</w:t>
      </w:r>
      <w:r>
        <w:t xml:space="preserve"> داخلي (الفريق التنفيذي، مجلس الإدارة، الشركاء الاستراتيجيون)</w:t>
      </w:r>
    </w:p>
    <w:p>
      <w:pPr>
        <w:jc w:val="right"/>
      </w:pPr>
      <w:r/>
      <w:r>
        <w:rPr>
          <w:b/>
        </w:rPr>
        <w:t>التصنيف:</w:t>
      </w:r>
      <w:r>
        <w:t xml:space="preserve"> سري — معلومات ملكية للعمل</w:t>
      </w:r>
    </w:p>
    <w:p>
      <w:pPr>
        <w:jc w:val="right"/>
      </w:pPr>
      <w:r/>
      <w:r>
        <w:rPr>
          <w:b/>
        </w:rPr>
        <w:t>للحصول على نماذج مالية تفصيلية، خطط تشغيلية، وخرائط طريق استراتيجية:</w:t>
      </w:r>
      <w:r/>
    </w:p>
    <w:p>
      <w:pPr>
        <w:jc w:val="right"/>
      </w:pPr>
      <w:r>
        <w:t>راجع دليل `/ezygas/` في مستودع المشروع</w:t>
      </w:r>
    </w:p>
    <w:p>
      <w:r>
        <w:t>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right"/>
      </w:pPr>
      <w:r/>
      <w:r>
        <w:rPr>
          <w:b/>
        </w:rPr>
        <w:t>نهاية المستند</w:t>
      </w:r>
      <w: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