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 w:before="600"/>
        <w:jc w:val="center"/>
      </w:pPr>
      <w:r>
        <w:drawing>
          <wp:inline distT="0" distB="0" distL="0" distR="0">
            <wp:extent cx="2286000" cy="18288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/>
        <w:spacing w:after="80" w:before="200"/>
        <w:jc w:val="center"/>
      </w:pPr>
      <w:r>
        <w:rPr>
          <w:rFonts w:ascii="Cairo" w:cs="Cairo" w:eastAsia="Cairo" w:hAnsi="Cairo"/>
          <w:b w:val="false"/>
          <w:bCs w:val="false"/>
          <w:i/>
          <w:iCs/>
          <w:color w:val="6B7280"/>
          <w:sz w:val="18"/>
          <w:szCs w:val="18"/>
        </w:rPr>
        <w:t xml:space="preserve">وثيقة داخلية — للاستخدام التنفيذي فقط</w:t>
      </w:r>
    </w:p>
    <w:p>
      <w:pPr>
        <w:bidi/>
        <w:spacing w:after="80" w:before="600"/>
        <w:jc w:val="center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64"/>
          <w:szCs w:val="64"/>
        </w:rPr>
        <w:t xml:space="preserve">جدول أعمال</w:t>
      </w:r>
    </w:p>
    <w:p>
      <w:pPr>
        <w:bidi/>
        <w:spacing w:after="80" w:before="0"/>
        <w:jc w:val="center"/>
      </w:pPr>
      <w:r>
        <w:rPr>
          <w:rFonts w:ascii="Cairo" w:cs="Cairo" w:eastAsia="Cairo" w:hAnsi="Cairo"/>
          <w:b/>
          <w:bCs/>
          <w:i w:val="false"/>
          <w:iCs w:val="false"/>
          <w:color w:val="2E8B3D"/>
          <w:sz w:val="36"/>
          <w:szCs w:val="36"/>
        </w:rPr>
        <w:t xml:space="preserve">جلسة عمل تنفيذية</w:t>
      </w:r>
    </w:p>
    <w:p>
      <w:pPr>
        <w:bidi/>
        <w:spacing w:after="600" w:before="80"/>
        <w:jc w:val="center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E2A52"/>
          <w:sz w:val="24"/>
          <w:szCs w:val="24"/>
        </w:rPr>
        <w:t xml:space="preserve">مراجعة الملفات الاستراتيجية العالقة — EzyGas × Treegas</w:t>
      </w:r>
    </w:p>
    <w:tbl>
      <w:tblPr>
        <w:tblW w:type="dxa" w:w="84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5600"/>
      </w:tblGrid>
      <w:tr>
        <w:tc>
          <w:tcPr>
            <w:tcW w:type="dxa" w:w="2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E2A52"/>
                <w:sz w:val="20"/>
                <w:szCs w:val="20"/>
              </w:rPr>
              <w:t xml:space="preserve">التاريخ</w:t>
            </w:r>
          </w:p>
        </w:tc>
        <w:tc>
          <w:tcPr>
            <w:tcW w:type="dxa" w:w="5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١٨ أبريل ٢٠٢٦</w:t>
            </w:r>
          </w:p>
        </w:tc>
      </w:tr>
      <w:tr>
        <w:tc>
          <w:tcPr>
            <w:tcW w:type="dxa" w:w="2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E2A52"/>
                <w:sz w:val="20"/>
                <w:szCs w:val="20"/>
              </w:rPr>
              <w:t xml:space="preserve">التوقيت</w:t>
            </w:r>
          </w:p>
        </w:tc>
        <w:tc>
          <w:tcPr>
            <w:tcW w:type="dxa" w:w="5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١٠:٠٠ صباحاً</w:t>
            </w:r>
          </w:p>
        </w:tc>
      </w:tr>
      <w:tr>
        <w:tc>
          <w:tcPr>
            <w:tcW w:type="dxa" w:w="2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E2A52"/>
                <w:sz w:val="20"/>
                <w:szCs w:val="20"/>
              </w:rPr>
              <w:t xml:space="preserve">المدة المقدرة</w:t>
            </w:r>
          </w:p>
        </w:tc>
        <w:tc>
          <w:tcPr>
            <w:tcW w:type="dxa" w:w="5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٤ ساعات تقديرية</w:t>
            </w:r>
          </w:p>
        </w:tc>
      </w:tr>
      <w:tr>
        <w:tc>
          <w:tcPr>
            <w:tcW w:type="dxa" w:w="2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E2A52"/>
                <w:sz w:val="20"/>
                <w:szCs w:val="20"/>
              </w:rPr>
              <w:t xml:space="preserve">الحضور</w:t>
            </w:r>
          </w:p>
        </w:tc>
        <w:tc>
          <w:tcPr>
            <w:tcW w:type="dxa" w:w="5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الفريق التنفيذي الداخلي — EzyGas</w:t>
            </w:r>
          </w:p>
        </w:tc>
      </w:tr>
      <w:tr>
        <w:tc>
          <w:tcPr>
            <w:tcW w:type="dxa" w:w="2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E2A52"/>
                <w:sz w:val="20"/>
                <w:szCs w:val="20"/>
              </w:rPr>
              <w:t xml:space="preserve">الرئاسة</w:t>
            </w:r>
          </w:p>
        </w:tc>
        <w:tc>
          <w:tcPr>
            <w:tcW w:type="dxa" w:w="5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محمد الزيات — رئيس مجلس الإدارة والمؤسس</w:t>
            </w:r>
          </w:p>
        </w:tc>
      </w:tr>
      <w:tr>
        <w:tc>
          <w:tcPr>
            <w:tcW w:type="dxa" w:w="2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E2A52"/>
                <w:sz w:val="20"/>
                <w:szCs w:val="20"/>
              </w:rPr>
              <w:t xml:space="preserve">التصنيف</w:t>
            </w:r>
          </w:p>
        </w:tc>
        <w:tc>
          <w:tcPr>
            <w:tcW w:type="dxa" w:w="5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B22222"/>
                <w:sz w:val="20"/>
                <w:szCs w:val="20"/>
              </w:rPr>
              <w:t xml:space="preserve">سري — وثيقة داخلية</w:t>
            </w:r>
          </w:p>
        </w:tc>
      </w:tr>
    </w:tbl>
    <w:p>
      <w:pPr>
        <w:spacing w:before="800"/>
      </w:pPr>
      <w:r>
        <w:t xml:space="preserve"/>
      </w:r>
    </w:p>
    <w:p>
      <w:pPr>
        <w:bidi/>
        <w:spacing w:after="60" w:before="200"/>
        <w:jc w:val="center"/>
      </w:pPr>
      <w:r>
        <w:rPr>
          <w:rFonts w:ascii="Cairo" w:cs="Cairo" w:eastAsia="Cairo" w:hAnsi="Cairo"/>
          <w:b w:val="false"/>
          <w:bCs w:val="false"/>
          <w:i/>
          <w:iCs/>
          <w:color w:val="6B7280"/>
          <w:sz w:val="18"/>
          <w:szCs w:val="18"/>
        </w:rPr>
        <w:t xml:space="preserve">EzyGas  |  Safe. Clean. Smart.</w:t>
      </w:r>
    </w:p>
    <w:p>
      <w:pPr>
        <w:bidi/>
        <w:spacing w:after="0" w:before="0"/>
        <w:jc w:val="center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2E8B3D"/>
          <w:sz w:val="18"/>
          <w:szCs w:val="18"/>
        </w:rPr>
        <w:t xml:space="preserve">www.ezy-gas.com</w:t>
      </w:r>
    </w:p>
    <w:p>
      <w:r>
        <w:br w:type="page"/>
      </w:r>
    </w:p>
    <w:p>
      <w:pPr>
        <w:bidi/>
        <w:spacing w:after="120" w:before="2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36"/>
          <w:szCs w:val="36"/>
        </w:rPr>
        <w:t xml:space="preserve">الإطار التنفيذي</w:t>
      </w:r>
    </w:p>
    <w:p>
      <w:pPr>
        <w:pBdr>
          <w:bottom w:val="single" w:color="2E8B3D" w:sz="6" w:space="1"/>
        </w:pBdr>
        <w:spacing w:after="80" w:before="80"/>
      </w:pPr>
      <w:r>
        <w:t xml:space="preserve"/>
      </w:r>
    </w:p>
    <w:p>
      <w:pPr>
        <w:bidi/>
        <w:spacing w:after="60" w:before="60" w:line="32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2E8B3D"/>
          <w:sz w:val="24"/>
          <w:szCs w:val="24"/>
        </w:rPr>
        <w:t xml:space="preserve">الهدف من الجلسة: 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2"/>
          <w:szCs w:val="22"/>
        </w:rPr>
        <w:t xml:space="preserve">مراجعة جميع الملفات الاستراتيجية العالقة حتى تاريخه، مع إقرار قرارات تنفيذية في أعلى ٣ ملفات — عقد الحصرية مع تريجاز، برنامج الموزعين المعتمدين، وتسهيل التعبئة الدائري.</w:t>
      </w:r>
    </w:p>
    <w:p>
      <w:pPr>
        <w:bidi/>
        <w:spacing w:after="60" w:before="60" w:line="32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2E8B3D"/>
          <w:sz w:val="24"/>
          <w:szCs w:val="24"/>
        </w:rPr>
        <w:t xml:space="preserve">مبدأ الجلسة: </w:t>
      </w:r>
      <w:r>
        <w:rPr>
          <w:rFonts w:ascii="Cairo" w:cs="Cairo" w:eastAsia="Cairo" w:hAnsi="Cairo"/>
          <w:b w:val="false"/>
          <w:bCs w:val="false"/>
          <w:i/>
          <w:iCs/>
          <w:color w:val="000000"/>
          <w:sz w:val="22"/>
          <w:szCs w:val="22"/>
        </w:rPr>
        <w:t xml:space="preserve">كل محور يُختتم بقرار موثَّق ومسؤول وموعد نهائي. لا نقاش مفتوح بدون مخرج.</w:t>
      </w:r>
    </w:p>
    <w:p>
      <w:pPr>
        <w:bidi/>
        <w:spacing w:after="120" w:before="3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6"/>
          <w:szCs w:val="26"/>
        </w:rPr>
        <w:t xml:space="preserve">خريطة الجلسة — التوزيع الزمني</w:t>
      </w:r>
    </w:p>
    <w:tbl>
      <w:tblPr>
        <w:tblW w:type="dxa" w:w="92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4800"/>
        <w:gridCol w:w="1500"/>
        <w:gridCol w:w="2000"/>
      </w:tblGrid>
      <w:tr>
        <w:trPr>
          <w:tblHeader/>
        </w:trPr>
        <w:tc>
          <w:tcPr>
            <w:tcW w:type="dxa" w:w="9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0E2A5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4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0E2A5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المحور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0E2A5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المدة</w:t>
            </w:r>
          </w:p>
        </w:tc>
        <w:tc>
          <w:tcPr>
            <w:tcW w:type="dxa" w:w="20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0E2A5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الأولوية</w:t>
            </w:r>
          </w:p>
        </w:tc>
      </w:tr>
      <w:tr>
        <w:tc>
          <w:tcPr>
            <w:tcW w:type="dxa" w:w="9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٠</w:t>
            </w:r>
          </w:p>
        </w:tc>
        <w:tc>
          <w:tcPr>
            <w:tcW w:type="dxa" w:w="4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الافتتاح والإطار التنفيذي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١٠ د</w:t>
            </w:r>
          </w:p>
        </w:tc>
        <w:tc>
          <w:tcPr>
            <w:tcW w:type="dxa" w:w="20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9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١</w:t>
            </w:r>
          </w:p>
        </w:tc>
        <w:tc>
          <w:tcPr>
            <w:tcW w:type="dxa" w:w="4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60" w:before="60" w:line="32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E2A52"/>
                <w:sz w:val="21"/>
                <w:szCs w:val="21"/>
              </w:rPr>
              <w:t xml:space="preserve">العقود (الملف الرئيسي)</w:t>
            </w:r>
          </w:p>
          <w:p>
            <w:pPr>
              <w:bidi/>
              <w:spacing w:after="60" w:before="60" w:line="32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6B7280"/>
                <w:sz w:val="19"/>
                <w:szCs w:val="19"/>
              </w:rPr>
              <w:t xml:space="preserve">تريجاز v3 + برنامج الموزعين المعتمدين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٧٠ د</w:t>
            </w:r>
          </w:p>
        </w:tc>
        <w:tc>
          <w:tcPr>
            <w:tcW w:type="dxa" w:w="20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B22222"/>
                <w:sz w:val="20"/>
                <w:szCs w:val="20"/>
              </w:rPr>
              <w:t xml:space="preserve">حرجة</w:t>
            </w:r>
          </w:p>
        </w:tc>
      </w:tr>
      <w:tr>
        <w:tc>
          <w:tcPr>
            <w:tcW w:type="dxa" w:w="9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٢</w:t>
            </w:r>
          </w:p>
        </w:tc>
        <w:tc>
          <w:tcPr>
            <w:tcW w:type="dxa" w:w="4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الموقف التنظيمي والترخيصي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٤٠ د</w:t>
            </w:r>
          </w:p>
        </w:tc>
        <w:tc>
          <w:tcPr>
            <w:tcW w:type="dxa" w:w="20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C7A600"/>
                <w:sz w:val="20"/>
                <w:szCs w:val="20"/>
              </w:rPr>
              <w:t xml:space="preserve">مرتفعة</w:t>
            </w:r>
          </w:p>
        </w:tc>
      </w:tr>
      <w:tr>
        <w:tc>
          <w:tcPr>
            <w:tcW w:type="dxa" w:w="9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٣</w:t>
            </w:r>
          </w:p>
        </w:tc>
        <w:tc>
          <w:tcPr>
            <w:tcW w:type="dxa" w:w="4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60" w:before="60" w:line="32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E2A52"/>
                <w:sz w:val="21"/>
                <w:szCs w:val="21"/>
              </w:rPr>
              <w:t xml:space="preserve">البنية المالية</w:t>
            </w:r>
          </w:p>
          <w:p>
            <w:pPr>
              <w:bidi/>
              <w:spacing w:after="60" w:before="60" w:line="32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6B7280"/>
                <w:sz w:val="19"/>
                <w:szCs w:val="19"/>
              </w:rPr>
              <w:t xml:space="preserve">تسهيل تريجاز + جولة البذرة + FX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٥٠ د</w:t>
            </w:r>
          </w:p>
        </w:tc>
        <w:tc>
          <w:tcPr>
            <w:tcW w:type="dxa" w:w="20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B22222"/>
                <w:sz w:val="20"/>
                <w:szCs w:val="20"/>
              </w:rPr>
              <w:t xml:space="preserve">حرجة</w:t>
            </w:r>
          </w:p>
        </w:tc>
      </w:tr>
      <w:tr>
        <w:tc>
          <w:tcPr>
            <w:tcW w:type="dxa" w:w="9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٤</w:t>
            </w:r>
          </w:p>
        </w:tc>
        <w:tc>
          <w:tcPr>
            <w:tcW w:type="dxa" w:w="4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الإطلاق التجاري والنمو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٣٠ د</w:t>
            </w:r>
          </w:p>
        </w:tc>
        <w:tc>
          <w:tcPr>
            <w:tcW w:type="dxa" w:w="20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C7A600"/>
                <w:sz w:val="20"/>
                <w:szCs w:val="20"/>
              </w:rPr>
              <w:t xml:space="preserve">مرتفعة</w:t>
            </w:r>
          </w:p>
        </w:tc>
      </w:tr>
      <w:tr>
        <w:tc>
          <w:tcPr>
            <w:tcW w:type="dxa" w:w="9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٥</w:t>
            </w:r>
          </w:p>
        </w:tc>
        <w:tc>
          <w:tcPr>
            <w:tcW w:type="dxa" w:w="4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التكنولوجيا والعمليات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٢٥ د</w:t>
            </w:r>
          </w:p>
        </w:tc>
        <w:tc>
          <w:tcPr>
            <w:tcW w:type="dxa" w:w="20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2E8B3D"/>
                <w:sz w:val="20"/>
                <w:szCs w:val="20"/>
              </w:rPr>
              <w:t xml:space="preserve">متوسطة</w:t>
            </w:r>
          </w:p>
        </w:tc>
      </w:tr>
      <w:tr>
        <w:tc>
          <w:tcPr>
            <w:tcW w:type="dxa" w:w="9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٦</w:t>
            </w:r>
          </w:p>
        </w:tc>
        <w:tc>
          <w:tcPr>
            <w:tcW w:type="dxa" w:w="4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المخاطر والحوكمة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١٥ د</w:t>
            </w:r>
          </w:p>
        </w:tc>
        <w:tc>
          <w:tcPr>
            <w:tcW w:type="dxa" w:w="20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2E8B3D"/>
                <w:sz w:val="20"/>
                <w:szCs w:val="20"/>
              </w:rPr>
              <w:t xml:space="preserve">متوسطة</w:t>
            </w:r>
          </w:p>
        </w:tc>
      </w:tr>
      <w:tr>
        <w:tc>
          <w:tcPr>
            <w:tcW w:type="dxa" w:w="9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FFF8E1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٧</w:t>
            </w:r>
          </w:p>
        </w:tc>
        <w:tc>
          <w:tcPr>
            <w:tcW w:type="dxa" w:w="4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FFF8E1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سجل القرارات والإجراءات التالية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FFF8E1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٢٠ د</w:t>
            </w:r>
          </w:p>
        </w:tc>
        <w:tc>
          <w:tcPr>
            <w:tcW w:type="dxa" w:w="20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FFF8E1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C7A600"/>
                <w:sz w:val="20"/>
                <w:szCs w:val="20"/>
              </w:rPr>
              <w:t xml:space="preserve">إلزامية</w:t>
            </w:r>
          </w:p>
        </w:tc>
      </w:tr>
    </w:tbl>
    <w:p>
      <w:r>
        <w:br w:type="page"/>
      </w:r>
    </w:p>
    <w:p>
      <w:pPr>
        <w:pBdr>
          <w:top w:val="single" w:color="0E2A52" w:sz="8"/>
          <w:left w:val="single" w:color="2E8B3D" w:sz="24"/>
          <w:bottom w:val="single" w:color="0E2A52" w:sz="8"/>
          <w:right w:val="single" w:color="2E8B3D" w:sz="24"/>
        </w:pBdr>
        <w:shd w:fill="0E2A52" w:val="clear"/>
        <w:bidi/>
        <w:spacing w:after="120" w:before="280" w:line="34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D9E4F0"/>
          <w:sz w:val="20"/>
          <w:szCs w:val="20"/>
        </w:rPr>
        <w:t xml:space="preserve">  ١٠ دقائق  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6A89B5"/>
          <w:sz w:val="20"/>
          <w:szCs w:val="20"/>
        </w:rPr>
        <w:t xml:space="preserve">  |  </w:t>
      </w:r>
      <w:r>
        <w:rPr>
          <w:rFonts w:ascii="Cairo" w:cs="Cairo" w:eastAsia="Cairo" w:hAnsi="Cairo"/>
          <w:b/>
          <w:bCs/>
          <w:i w:val="false"/>
          <w:iCs w:val="false"/>
          <w:color w:val="FFFFFF"/>
          <w:sz w:val="28"/>
          <w:szCs w:val="28"/>
        </w:rPr>
        <w:t xml:space="preserve">الافتتاح والإطار التنفيذي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6A89B5"/>
          <w:sz w:val="28"/>
          <w:szCs w:val="28"/>
        </w:rPr>
        <w:t xml:space="preserve">  —  </w:t>
      </w:r>
      <w:r>
        <w:rPr>
          <w:rFonts w:ascii="Cairo" w:cs="Cairo" w:eastAsia="Cairo" w:hAnsi="Cairo"/>
          <w:b/>
          <w:bCs/>
          <w:i w:val="false"/>
          <w:iCs w:val="false"/>
          <w:color w:val="DFF2E3"/>
          <w:sz w:val="26"/>
          <w:szCs w:val="26"/>
        </w:rPr>
        <w:t xml:space="preserve">المحور ٠</w:t>
      </w:r>
    </w:p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تحديث حالة الأعمال — لقطة اليوم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٠.١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موقف العقود: مسودة تريجاز v3 بالعربية جاهزة عدا قسم المواصفات التنظيمية (Placeholder).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موقف برنامج الموزعين: الحزمة الكاملة مصاغة (مصفوفة الغرامات، رسوم التوصيل، التحكيم CRCICA)؛ تناقض إيداع Entry لم يُحل كتابياً بعد.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موقف التمويل: تسهيل تريجاز الدائري في مرحلة الصياغة النهائية؛ جولة البذرة ١٥–٢٠م جنيه في مرحلة إعداد الوثائق.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موقف التنظيم: فجوة تسجيل GMRA وشهادة الأسطوانات المركبة قائمة — أولوية ٠–٩٠ يوم.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ملاحظة FX: عتبة ٥٧–٥٨ جنيه/دولار لمراجعة السعر الاستهلاكي (مؤجل حتى الربع الرابع ٢٠٢٦ على الأقل).</w:t>
      </w:r>
    </w:p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أهداف الجلسة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٠.٢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إقرار توقيت وآلية توقيع عقد تريجاز v3.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إقرار نافذة إطلاق برنامج الموزعين المعتمدين ومعالجة التناقضات.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إقرار مبادئ تسهيل التعبئة الدائري مع تريجاز.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تعيين مالك لكل ملف تنظيمي مع موعد نهائي.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إقرار خطة جولة البذرة وآلية إدارة FX.</w:t>
      </w:r>
    </w:p>
    <w:p>
      <w:r>
        <w:br w:type="page"/>
      </w:r>
    </w:p>
    <w:p>
      <w:pPr>
        <w:pBdr>
          <w:top w:val="single" w:color="0E2A52" w:sz="8"/>
          <w:left w:val="single" w:color="2E8B3D" w:sz="24"/>
          <w:bottom w:val="single" w:color="0E2A52" w:sz="8"/>
          <w:right w:val="single" w:color="2E8B3D" w:sz="24"/>
        </w:pBdr>
        <w:shd w:fill="0E2A52" w:val="clear"/>
        <w:bidi/>
        <w:spacing w:after="120" w:before="280" w:line="34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D9E4F0"/>
          <w:sz w:val="20"/>
          <w:szCs w:val="20"/>
        </w:rPr>
        <w:t xml:space="preserve">  ٧٠ دقيقة  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6A89B5"/>
          <w:sz w:val="20"/>
          <w:szCs w:val="20"/>
        </w:rPr>
        <w:t xml:space="preserve">  |  </w:t>
      </w:r>
      <w:r>
        <w:rPr>
          <w:rFonts w:ascii="Cairo" w:cs="Cairo" w:eastAsia="Cairo" w:hAnsi="Cairo"/>
          <w:b/>
          <w:bCs/>
          <w:i w:val="false"/>
          <w:iCs w:val="false"/>
          <w:color w:val="FFFFFF"/>
          <w:sz w:val="28"/>
          <w:szCs w:val="28"/>
        </w:rPr>
        <w:t xml:space="preserve">العقود — الملف الرئيسي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6A89B5"/>
          <w:sz w:val="28"/>
          <w:szCs w:val="28"/>
        </w:rPr>
        <w:t xml:space="preserve">  —  </w:t>
      </w:r>
      <w:r>
        <w:rPr>
          <w:rFonts w:ascii="Cairo" w:cs="Cairo" w:eastAsia="Cairo" w:hAnsi="Cairo"/>
          <w:b/>
          <w:bCs/>
          <w:i w:val="false"/>
          <w:iCs w:val="false"/>
          <w:color w:val="DFF2E3"/>
          <w:sz w:val="26"/>
          <w:szCs w:val="26"/>
        </w:rPr>
        <w:t xml:space="preserve">المحور ١</w:t>
      </w:r>
    </w:p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عقد الحصرية الحصرية مع تريجاز — الإصدار v3 (٤٠ دقيقة)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١.١</w:t>
      </w:r>
    </w:p>
    <w:p>
      <w:pPr>
        <w:bidi/>
        <w:spacing w:after="60" w:before="60" w:line="32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2"/>
          <w:szCs w:val="22"/>
        </w:rPr>
        <w:t xml:space="preserve">الخلفية: 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العقد الأصلي كان ترتيب وكالة شرطية، وليس حصرية حقيقية. الإصدار الحالي v3 أعاد الهيكلة حول 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1"/>
          <w:szCs w:val="21"/>
        </w:rPr>
        <w:t xml:space="preserve">"الحصرية المشروطة الثنائية"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 — حصرية كل طرف مرتبطة بالتزام الطرف الآخر.</w:t>
      </w:r>
    </w:p>
    <w:p>
      <w:pPr>
        <w:bidi/>
        <w:spacing w:after="60" w:before="60" w:line="32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2"/>
          <w:szCs w:val="22"/>
        </w:rPr>
        <w:t xml:space="preserve">ما تم إنجازه في v3: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آلية الحصرية المشروطة الثنائية مُقرّة نصياً.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أهداف السنة الأولى للمبيعات مُلزِمة؛ عدم التحقيق يفتح لتريجاز حق تعيين موزع إضافي (لا بديل) ويحرر EzyGas في الوقت نفسه من الحصرية.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المواصفات الفنية الكاملة للأسطوانات من TG-CG2/26 مُدرجة في الملحق (ب).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شرط التحكيم CRCICA معتمد.</w:t>
      </w:r>
    </w:p>
    <w:p>
      <w:pPr>
        <w:bidi/>
        <w:spacing w:after="60" w:before="60" w:line="32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B22222"/>
          <w:sz w:val="22"/>
          <w:szCs w:val="22"/>
        </w:rPr>
        <w:t xml:space="preserve">الفجوات المفتوحة — تتطلب قرار: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قسم المواصفات التنظيمية لا يزال Placeholder في انتظار وثائق الجهة المنظِمة.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مادة التعبئة وضوابطها (التعبئة وإعادة التعبئة) غير مكتملة — أكبر فجوة تشغيلية في العقد.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ربط تسهيل التعبئة الدائري بحصة تريجاز ٢٥٪ لم يُصَغ نصياً كمادة تعاقدية.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آلية المراجعة السنوية للأهداف في ضوء متغيرات السوق (دعم حكومي، منافس جديد، FX) تحتاج صياغة.</w:t>
      </w:r>
    </w:p>
    <w:p>
      <w:pPr>
        <w:pBdr>
          <w:top w:val="single" w:color="C7A600" w:sz="4"/>
          <w:left w:val="single" w:color="C7A600" w:sz="16"/>
          <w:bottom w:val="single" w:color="C7A600" w:sz="4"/>
          <w:right w:val="single" w:color="C7A600" w:sz="16"/>
        </w:pBdr>
        <w:shd w:fill="FFF8E1" w:val="clear"/>
        <w:bidi/>
        <w:spacing w:after="100" w:before="100" w:line="30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5A4500"/>
          <w:sz w:val="21"/>
          <w:szCs w:val="21"/>
        </w:rPr>
        <w:t xml:space="preserve">تعيين مسؤول جمع وثائق الجهة المنظِمة ودمجها في العقد (اقتراح: المستشار القانوني إبراهيم اليسري البصل) مع موعد نهائي.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 </w:t>
      </w:r>
      <w:r>
        <w:rPr>
          <w:rFonts w:ascii="Cairo" w:cs="Cairo" w:eastAsia="Cairo" w:hAnsi="Cairo"/>
          <w:b/>
          <w:bCs/>
          <w:i w:val="false"/>
          <w:iCs w:val="false"/>
          <w:color w:val="C7A600"/>
          <w:sz w:val="22"/>
          <w:szCs w:val="22"/>
        </w:rPr>
        <w:t xml:space="preserve">◆ قرار مطلوب: </w:t>
      </w:r>
    </w:p>
    <w:p>
      <w:pPr>
        <w:pBdr>
          <w:top w:val="single" w:color="C7A600" w:sz="4"/>
          <w:left w:val="single" w:color="C7A600" w:sz="16"/>
          <w:bottom w:val="single" w:color="C7A600" w:sz="4"/>
          <w:right w:val="single" w:color="C7A600" w:sz="16"/>
        </w:pBdr>
        <w:shd w:fill="FFF8E1" w:val="clear"/>
        <w:bidi/>
        <w:spacing w:after="100" w:before="100" w:line="30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5A4500"/>
          <w:sz w:val="21"/>
          <w:szCs w:val="21"/>
        </w:rPr>
        <w:t xml:space="preserve">إقرار صياغة مادة "التعبئة والتسهيل الدائري" كبند تعاقدي مُلزِم، وليس ملحقاً لاحقاً.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 </w:t>
      </w:r>
      <w:r>
        <w:rPr>
          <w:rFonts w:ascii="Cairo" w:cs="Cairo" w:eastAsia="Cairo" w:hAnsi="Cairo"/>
          <w:b/>
          <w:bCs/>
          <w:i w:val="false"/>
          <w:iCs w:val="false"/>
          <w:color w:val="C7A600"/>
          <w:sz w:val="22"/>
          <w:szCs w:val="22"/>
        </w:rPr>
        <w:t xml:space="preserve">◆ قرار مطلوب: </w:t>
      </w:r>
    </w:p>
    <w:p>
      <w:pPr>
        <w:pBdr>
          <w:top w:val="single" w:color="C7A600" w:sz="4"/>
          <w:left w:val="single" w:color="C7A600" w:sz="16"/>
          <w:bottom w:val="single" w:color="C7A600" w:sz="4"/>
          <w:right w:val="single" w:color="C7A600" w:sz="16"/>
        </w:pBdr>
        <w:shd w:fill="FFF8E1" w:val="clear"/>
        <w:bidi/>
        <w:spacing w:after="100" w:before="100" w:line="30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5A4500"/>
          <w:sz w:val="21"/>
          <w:szCs w:val="21"/>
        </w:rPr>
        <w:t xml:space="preserve">تحديد تاريخ مستهدف لتوقيع v3 (اقتراح: خلال ١٤ يوماً من استلام الوثائق التنظيمية).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 </w:t>
      </w:r>
      <w:r>
        <w:rPr>
          <w:rFonts w:ascii="Cairo" w:cs="Cairo" w:eastAsia="Cairo" w:hAnsi="Cairo"/>
          <w:b/>
          <w:bCs/>
          <w:i w:val="false"/>
          <w:iCs w:val="false"/>
          <w:color w:val="C7A600"/>
          <w:sz w:val="22"/>
          <w:szCs w:val="22"/>
        </w:rPr>
        <w:t xml:space="preserve">◆ قرار مطلوب: </w:t>
      </w:r>
    </w:p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اتفاقية الموزع المعتمد — حزمة الإطلاق (٣٠ دقيقة)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١.٢</w:t>
      </w:r>
    </w:p>
    <w:p>
      <w:pPr>
        <w:bidi/>
        <w:spacing w:after="60" w:before="60" w:line="32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2"/>
          <w:szCs w:val="22"/>
        </w:rPr>
        <w:t xml:space="preserve">الخلفية: 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الحزمة مصاغة كاملة ومنفصلة عن عقد تريجاز الصناعي، وتشمل: مصفوفة غرامات، جدول رسوم توصيل، حدود دنيا شهرية للأداء لكل فئة، شرط تحكيم CRCICA، وثمانية تحسينات هيكلية مقارنة بالمسودة الأولى.</w:t>
      </w:r>
    </w:p>
    <w:p>
      <w:pPr>
        <w:bidi/>
        <w:spacing w:after="60" w:before="60" w:line="32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2"/>
          <w:szCs w:val="22"/>
        </w:rPr>
        <w:t xml:space="preserve">التحسينات الثمانية المُدخَلة:</w:t>
      </w:r>
    </w:p>
    <w:tbl>
      <w:tblPr>
        <w:tblW w:type="dxa" w:w="92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600"/>
      </w:tblGrid>
      <w:tr>
        <w:tc>
          <w:tcPr>
            <w:tcW w:type="dxa" w:w="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١</w:t>
            </w:r>
          </w:p>
        </w:tc>
        <w:tc>
          <w:tcPr>
            <w:tcW w:type="dxa" w:w="8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إيداعات مُسجَّلة كرهن تجاري رسمي (حماية من المماطلة عند الإلغاء).</w:t>
            </w:r>
          </w:p>
        </w:tc>
      </w:tr>
      <w:tr>
        <w:tc>
          <w:tcPr>
            <w:tcW w:type="dxa" w:w="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٢</w:t>
            </w:r>
          </w:p>
        </w:tc>
        <w:tc>
          <w:tcPr>
            <w:tcW w:type="dxa" w:w="8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تسلسل إنفاذ متدرج ثلاثي المستويات (تحذير → تعليق → إنهاء).</w:t>
            </w:r>
          </w:p>
        </w:tc>
      </w:tr>
      <w:tr>
        <w:tc>
          <w:tcPr>
            <w:tcW w:type="dxa" w:w="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٣</w:t>
            </w:r>
          </w:p>
        </w:tc>
        <w:tc>
          <w:tcPr>
            <w:tcW w:type="dxa" w:w="8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ربط الالتزام السعري بالموقع كمصدر وحيد للحقيقة (Single Source of Truth).</w:t>
            </w:r>
          </w:p>
        </w:tc>
      </w:tr>
      <w:tr>
        <w:tc>
          <w:tcPr>
            <w:tcW w:type="dxa" w:w="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٤</w:t>
            </w:r>
          </w:p>
        </w:tc>
        <w:tc>
          <w:tcPr>
            <w:tcW w:type="dxa" w:w="8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جدول رسوم توصيل واضح مرتبط بنطاق جغرافي معتمد بإحداثيات GPS.</w:t>
            </w:r>
          </w:p>
        </w:tc>
      </w:tr>
      <w:tr>
        <w:tc>
          <w:tcPr>
            <w:tcW w:type="dxa" w:w="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٥</w:t>
            </w:r>
          </w:p>
        </w:tc>
        <w:tc>
          <w:tcPr>
            <w:tcW w:type="dxa" w:w="8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مصفوفة غرامات صريحة على خرق معايير السلامة والتتبع.</w:t>
            </w:r>
          </w:p>
        </w:tc>
      </w:tr>
      <w:tr>
        <w:tc>
          <w:tcPr>
            <w:tcW w:type="dxa" w:w="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٦</w:t>
            </w:r>
          </w:p>
        </w:tc>
        <w:tc>
          <w:tcPr>
            <w:tcW w:type="dxa" w:w="8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حدود دنيا شهرية للأداء لكل فئة (Tier A إلى Entry).</w:t>
            </w:r>
          </w:p>
        </w:tc>
      </w:tr>
      <w:tr>
        <w:tc>
          <w:tcPr>
            <w:tcW w:type="dxa" w:w="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٧</w:t>
            </w:r>
          </w:p>
        </w:tc>
        <w:tc>
          <w:tcPr>
            <w:tcW w:type="dxa" w:w="8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آلية تعيين الموزعين الفرعيين بموافقة كتابية مسبقة.</w:t>
            </w:r>
          </w:p>
        </w:tc>
      </w:tr>
      <w:tr>
        <w:tc>
          <w:tcPr>
            <w:tcW w:type="dxa" w:w="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٨</w:t>
            </w:r>
          </w:p>
        </w:tc>
        <w:tc>
          <w:tcPr>
            <w:tcW w:type="dxa" w:w="8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تحكيم CRCICA كمعيار موحد لجميع النزاعات.</w:t>
            </w:r>
          </w:p>
        </w:tc>
      </w:tr>
    </w:tbl>
    <w:p>
      <w:pPr>
        <w:bidi/>
        <w:spacing w:after="60" w:before="240" w:line="32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B22222"/>
          <w:sz w:val="22"/>
          <w:szCs w:val="22"/>
        </w:rPr>
        <w:t xml:space="preserve">الفجوات العالقة: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تناقض نسبة الإيداع لفئة Entry (٢٥٪ في النص مقابل ٢٠٪ في الجدول) — لم يُحل كتابياً حتى الآن.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تعريف "التكاليف الفعلية" المخصومة عند الإلغاء بدون سقف.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آلية إنفاذ الأولوية الجغرافية بالإحداثيات لم تُوقَّع كخريطة نهائية.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نافذة إطلاق البرنامج وآلية الـ ٤٨ ساعة لـ Tier A لم تُحَدَّد تاريخاً فعلياً.</w:t>
      </w:r>
    </w:p>
    <w:p>
      <w:pPr>
        <w:pBdr>
          <w:top w:val="single" w:color="C7A600" w:sz="4"/>
          <w:left w:val="single" w:color="C7A600" w:sz="16"/>
          <w:bottom w:val="single" w:color="C7A600" w:sz="4"/>
          <w:right w:val="single" w:color="C7A600" w:sz="16"/>
        </w:pBdr>
        <w:shd w:fill="FFF8E1" w:val="clear"/>
        <w:bidi/>
        <w:spacing w:after="100" w:before="100" w:line="30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5A4500"/>
          <w:sz w:val="21"/>
          <w:szCs w:val="21"/>
        </w:rPr>
        <w:t xml:space="preserve">إصدار تعديل كتابي رسمي يحل تناقض إيداع Entry قبل أي تسويق للبرنامج.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 </w:t>
      </w:r>
      <w:r>
        <w:rPr>
          <w:rFonts w:ascii="Cairo" w:cs="Cairo" w:eastAsia="Cairo" w:hAnsi="Cairo"/>
          <w:b/>
          <w:bCs/>
          <w:i w:val="false"/>
          <w:iCs w:val="false"/>
          <w:color w:val="C7A600"/>
          <w:sz w:val="22"/>
          <w:szCs w:val="22"/>
        </w:rPr>
        <w:t xml:space="preserve">◆ قرار مطلوب: </w:t>
      </w:r>
    </w:p>
    <w:p>
      <w:pPr>
        <w:pBdr>
          <w:top w:val="single" w:color="C7A600" w:sz="4"/>
          <w:left w:val="single" w:color="C7A600" w:sz="16"/>
          <w:bottom w:val="single" w:color="C7A600" w:sz="4"/>
          <w:right w:val="single" w:color="C7A600" w:sz="16"/>
        </w:pBdr>
        <w:shd w:fill="FFF8E1" w:val="clear"/>
        <w:bidi/>
        <w:spacing w:after="100" w:before="100" w:line="30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5A4500"/>
          <w:sz w:val="21"/>
          <w:szCs w:val="21"/>
        </w:rPr>
        <w:t xml:space="preserve">وضع سقف عند ٢٪ من الإيداع لـ "التكاليف الفعلية" مع قائمة استخدامات مسموح بها.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 </w:t>
      </w:r>
      <w:r>
        <w:rPr>
          <w:rFonts w:ascii="Cairo" w:cs="Cairo" w:eastAsia="Cairo" w:hAnsi="Cairo"/>
          <w:b/>
          <w:bCs/>
          <w:i w:val="false"/>
          <w:iCs w:val="false"/>
          <w:color w:val="C7A600"/>
          <w:sz w:val="22"/>
          <w:szCs w:val="22"/>
        </w:rPr>
        <w:t xml:space="preserve">◆ قرار مطلوب: </w:t>
      </w:r>
    </w:p>
    <w:p>
      <w:pPr>
        <w:pBdr>
          <w:top w:val="single" w:color="C7A600" w:sz="4"/>
          <w:left w:val="single" w:color="C7A600" w:sz="16"/>
          <w:bottom w:val="single" w:color="C7A600" w:sz="4"/>
          <w:right w:val="single" w:color="C7A600" w:sz="16"/>
        </w:pBdr>
        <w:shd w:fill="FFF8E1" w:val="clear"/>
        <w:bidi/>
        <w:spacing w:after="100" w:before="100" w:line="30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5A4500"/>
          <w:sz w:val="21"/>
          <w:szCs w:val="21"/>
        </w:rPr>
        <w:t xml:space="preserve">تحديد تاريخ إطلاق البرنامج (اقتراح: أسبوع كامل للاستعداد التسويقي بعد الإقرار النهائي).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 </w:t>
      </w:r>
      <w:r>
        <w:rPr>
          <w:rFonts w:ascii="Cairo" w:cs="Cairo" w:eastAsia="Cairo" w:hAnsi="Cairo"/>
          <w:b/>
          <w:bCs/>
          <w:i w:val="false"/>
          <w:iCs w:val="false"/>
          <w:color w:val="C7A600"/>
          <w:sz w:val="22"/>
          <w:szCs w:val="22"/>
        </w:rPr>
        <w:t xml:space="preserve">◆ قرار مطلوب: </w:t>
      </w:r>
    </w:p>
    <w:p>
      <w:r>
        <w:br w:type="page"/>
      </w:r>
    </w:p>
    <w:p>
      <w:pPr>
        <w:pBdr>
          <w:top w:val="single" w:color="0E2A52" w:sz="8"/>
          <w:left w:val="single" w:color="2E8B3D" w:sz="24"/>
          <w:bottom w:val="single" w:color="0E2A52" w:sz="8"/>
          <w:right w:val="single" w:color="2E8B3D" w:sz="24"/>
        </w:pBdr>
        <w:shd w:fill="0E2A52" w:val="clear"/>
        <w:bidi/>
        <w:spacing w:after="120" w:before="280" w:line="34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D9E4F0"/>
          <w:sz w:val="20"/>
          <w:szCs w:val="20"/>
        </w:rPr>
        <w:t xml:space="preserve">  ٤٠ دقيقة  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6A89B5"/>
          <w:sz w:val="20"/>
          <w:szCs w:val="20"/>
        </w:rPr>
        <w:t xml:space="preserve">  |  </w:t>
      </w:r>
      <w:r>
        <w:rPr>
          <w:rFonts w:ascii="Cairo" w:cs="Cairo" w:eastAsia="Cairo" w:hAnsi="Cairo"/>
          <w:b/>
          <w:bCs/>
          <w:i w:val="false"/>
          <w:iCs w:val="false"/>
          <w:color w:val="FFFFFF"/>
          <w:sz w:val="28"/>
          <w:szCs w:val="28"/>
        </w:rPr>
        <w:t xml:space="preserve">الموقف التنظيمي والترخيصي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6A89B5"/>
          <w:sz w:val="28"/>
          <w:szCs w:val="28"/>
        </w:rPr>
        <w:t xml:space="preserve">  —  </w:t>
      </w:r>
      <w:r>
        <w:rPr>
          <w:rFonts w:ascii="Cairo" w:cs="Cairo" w:eastAsia="Cairo" w:hAnsi="Cairo"/>
          <w:b/>
          <w:bCs/>
          <w:i w:val="false"/>
          <w:iCs w:val="false"/>
          <w:color w:val="DFF2E3"/>
          <w:sz w:val="26"/>
          <w:szCs w:val="26"/>
        </w:rPr>
        <w:t xml:space="preserve">المحور ٢</w:t>
      </w:r>
    </w:p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المنطقة الرمادية التنظيمية — تحديد الموقف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٢.١</w:t>
      </w:r>
    </w:p>
    <w:p>
      <w:pPr>
        <w:bidi/>
        <w:spacing w:after="60" w:before="60" w:line="32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B22222"/>
          <w:sz w:val="22"/>
          <w:szCs w:val="22"/>
        </w:rPr>
        <w:t xml:space="preserve">الحقيقة القاسية: 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الأسطوانات المركبة ليست ممنوعة، لكنها ليست مُرَخَّصة كلياً. عدم المنع ≠ الإذن. هذا هو أهم خطر هيكلي على EzyGas.</w:t>
      </w:r>
    </w:p>
    <w:p>
      <w:pPr>
        <w:bidi/>
        <w:spacing w:after="60" w:before="60" w:line="32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2"/>
          <w:szCs w:val="22"/>
        </w:rPr>
        <w:t xml:space="preserve">الإطار الثلاثي للمعالجة:</w:t>
      </w:r>
    </w:p>
    <w:tbl>
      <w:tblPr>
        <w:tblW w:type="dxa" w:w="92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5400"/>
        <w:gridCol w:w="2200"/>
      </w:tblGrid>
      <w:tr>
        <w:trPr>
          <w:tblHeader/>
        </w:trPr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0E2A5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الأفق</w:t>
            </w:r>
          </w:p>
        </w:tc>
        <w:tc>
          <w:tcPr>
            <w:tcW w:type="dxa" w:w="5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0E2A5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الهدف</w:t>
            </w:r>
          </w:p>
        </w:tc>
        <w:tc>
          <w:tcPr>
            <w:tcW w:type="dxa" w:w="22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0E2A5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المخرج</w:t>
            </w:r>
          </w:p>
        </w:tc>
      </w:tr>
      <w:tr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B22222"/>
                <w:sz w:val="20"/>
                <w:szCs w:val="20"/>
              </w:rPr>
              <w:t xml:space="preserve">٠–٩٠ يوم</w:t>
            </w:r>
          </w:p>
        </w:tc>
        <w:tc>
          <w:tcPr>
            <w:tcW w:type="dxa" w:w="5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سد الفجوة الفورية: تسجيل GMRA + شهادة أولية للأسطوانات المركبة.</w:t>
            </w:r>
          </w:p>
        </w:tc>
        <w:tc>
          <w:tcPr>
            <w:tcW w:type="dxa" w:w="22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تقليل مخاطر الإيقاف المفاجئ</w:t>
            </w:r>
          </w:p>
        </w:tc>
      </w:tr>
      <w:tr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C7A600"/>
                <w:sz w:val="20"/>
                <w:szCs w:val="20"/>
              </w:rPr>
              <w:t xml:space="preserve">٩٠–٣٦٥ يوم</w:t>
            </w:r>
          </w:p>
        </w:tc>
        <w:tc>
          <w:tcPr>
            <w:tcW w:type="dxa" w:w="5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بنية الامتثال: إجراءات سلامة، تأمين، تدريب، تفتيش دوري.</w:t>
            </w:r>
          </w:p>
        </w:tc>
        <w:tc>
          <w:tcPr>
            <w:tcW w:type="dxa" w:w="22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ترسيخ الشرعية التشغيلية</w:t>
            </w:r>
          </w:p>
        </w:tc>
      </w:tr>
      <w:tr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2E8B3D"/>
                <w:sz w:val="20"/>
                <w:szCs w:val="20"/>
              </w:rPr>
              <w:t xml:space="preserve">سنة ٢–٥</w:t>
            </w:r>
          </w:p>
        </w:tc>
        <w:tc>
          <w:tcPr>
            <w:tcW w:type="dxa" w:w="5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القيادة التنظيمية: تأليف معيار مصري للأسطوانات المركبة بالتعاون مع GASCO والوزارة.</w:t>
            </w:r>
          </w:p>
        </w:tc>
        <w:tc>
          <w:tcPr>
            <w:tcW w:type="dxa" w:w="22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حاجز دخول للمنافسين</w:t>
            </w:r>
          </w:p>
        </w:tc>
      </w:tr>
    </w:tbl>
    <w:p>
      <w:pPr>
        <w:pBdr>
          <w:top w:val="single" w:color="C7A600" w:sz="4"/>
          <w:left w:val="single" w:color="C7A600" w:sz="16"/>
          <w:bottom w:val="single" w:color="C7A600" w:sz="4"/>
          <w:right w:val="single" w:color="C7A600" w:sz="16"/>
        </w:pBdr>
        <w:shd w:fill="FFF8E1" w:val="clear"/>
        <w:bidi/>
        <w:spacing w:after="100" w:before="100" w:line="30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5A4500"/>
          <w:sz w:val="21"/>
          <w:szCs w:val="21"/>
        </w:rPr>
        <w:t xml:space="preserve">تعيين مالك تنفيذي لملف GMRA والاعتماد خلال الجلسة (اقتراح: المدير التجاري والتنفيذي محمد صبحي رزق بدعم من الاستشاري القانوني).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 </w:t>
      </w:r>
      <w:r>
        <w:rPr>
          <w:rFonts w:ascii="Cairo" w:cs="Cairo" w:eastAsia="Cairo" w:hAnsi="Cairo"/>
          <w:b/>
          <w:bCs/>
          <w:i w:val="false"/>
          <w:iCs w:val="false"/>
          <w:color w:val="C7A600"/>
          <w:sz w:val="22"/>
          <w:szCs w:val="22"/>
        </w:rPr>
        <w:t xml:space="preserve">◆ قرار مطلوب: </w:t>
      </w:r>
    </w:p>
    <w:p>
      <w:pPr>
        <w:pBdr>
          <w:top w:val="single" w:color="C7A600" w:sz="4"/>
          <w:left w:val="single" w:color="C7A600" w:sz="16"/>
          <w:bottom w:val="single" w:color="C7A600" w:sz="4"/>
          <w:right w:val="single" w:color="C7A600" w:sz="16"/>
        </w:pBdr>
        <w:shd w:fill="FFF8E1" w:val="clear"/>
        <w:bidi/>
        <w:spacing w:after="100" w:before="100" w:line="30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5A4500"/>
          <w:sz w:val="21"/>
          <w:szCs w:val="21"/>
        </w:rPr>
        <w:t xml:space="preserve">إقرار ميزانية اعتماد الأسطوانات المركبة (الاختبارات، الشهادات، الاستشارات).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 </w:t>
      </w:r>
      <w:r>
        <w:rPr>
          <w:rFonts w:ascii="Cairo" w:cs="Cairo" w:eastAsia="Cairo" w:hAnsi="Cairo"/>
          <w:b/>
          <w:bCs/>
          <w:i w:val="false"/>
          <w:iCs w:val="false"/>
          <w:color w:val="C7A600"/>
          <w:sz w:val="22"/>
          <w:szCs w:val="22"/>
        </w:rPr>
        <w:t xml:space="preserve">◆ قرار مطلوب: </w:t>
      </w:r>
    </w:p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عقد إمداد Petrogas / Butagasco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٢.٢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الوضع الحالي: علاقة عامة قائمة، بدون عقد إمداد ملزم بكميات دنيا.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الهدف: تأمين عقد إمداد بكميات دنيا شهرية تضمن استمرارية الخدمة (SLA-gated).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الأثر التشغيلي: بدون عقد، أي اضطراب في الإمداد يهدم SLA الساعتين لـ Premium والـ٢٤ ساعة لـ Home.</w:t>
      </w:r>
    </w:p>
    <w:p>
      <w:pPr>
        <w:pBdr>
          <w:top w:val="single" w:color="C7A600" w:sz="4"/>
          <w:left w:val="single" w:color="C7A600" w:sz="16"/>
          <w:bottom w:val="single" w:color="C7A600" w:sz="4"/>
          <w:right w:val="single" w:color="C7A600" w:sz="16"/>
        </w:pBdr>
        <w:shd w:fill="FFF8E1" w:val="clear"/>
        <w:bidi/>
        <w:spacing w:after="100" w:before="100" w:line="30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5A4500"/>
          <w:sz w:val="21"/>
          <w:szCs w:val="21"/>
        </w:rPr>
        <w:t xml:space="preserve">تفويض فريق التفاوض للدخول في مفاوضات رسمية مع Petrogas/Butagasco خلال ٣٠ يوماً.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 </w:t>
      </w:r>
      <w:r>
        <w:rPr>
          <w:rFonts w:ascii="Cairo" w:cs="Cairo" w:eastAsia="Cairo" w:hAnsi="Cairo"/>
          <w:b/>
          <w:bCs/>
          <w:i w:val="false"/>
          <w:iCs w:val="false"/>
          <w:color w:val="C7A600"/>
          <w:sz w:val="22"/>
          <w:szCs w:val="22"/>
        </w:rPr>
        <w:t xml:space="preserve">◆ قرار مطلوب: </w:t>
      </w:r>
    </w:p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الدعم الحكومي — فرصة ٢٠٢٦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٢.٣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زيادة دعم أسطوانات الحديد في مارس ٢٠٢٦ قلّصت فجوة السعر التنافسي لصالح EzyGas.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هذه الفرصة نافذة زمنية — لن تبقى إلى ما لا نهاية.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التوصية: تسريع النشر قبل أي تعديل تنظيمي مستقبلي يُعيد الفجوة.</w:t>
      </w:r>
    </w:p>
    <w:p>
      <w:r>
        <w:br w:type="page"/>
      </w:r>
    </w:p>
    <w:p>
      <w:pPr>
        <w:pBdr>
          <w:top w:val="single" w:color="0E2A52" w:sz="8"/>
          <w:left w:val="single" w:color="2E8B3D" w:sz="24"/>
          <w:bottom w:val="single" w:color="0E2A52" w:sz="8"/>
          <w:right w:val="single" w:color="2E8B3D" w:sz="24"/>
        </w:pBdr>
        <w:shd w:fill="0E2A52" w:val="clear"/>
        <w:bidi/>
        <w:spacing w:after="120" w:before="280" w:line="34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D9E4F0"/>
          <w:sz w:val="20"/>
          <w:szCs w:val="20"/>
        </w:rPr>
        <w:t xml:space="preserve">  ٥٠ دقيقة  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6A89B5"/>
          <w:sz w:val="20"/>
          <w:szCs w:val="20"/>
        </w:rPr>
        <w:t xml:space="preserve">  |  </w:t>
      </w:r>
      <w:r>
        <w:rPr>
          <w:rFonts w:ascii="Cairo" w:cs="Cairo" w:eastAsia="Cairo" w:hAnsi="Cairo"/>
          <w:b/>
          <w:bCs/>
          <w:i w:val="false"/>
          <w:iCs w:val="false"/>
          <w:color w:val="FFFFFF"/>
          <w:sz w:val="28"/>
          <w:szCs w:val="28"/>
        </w:rPr>
        <w:t xml:space="preserve">البنية المالية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6A89B5"/>
          <w:sz w:val="28"/>
          <w:szCs w:val="28"/>
        </w:rPr>
        <w:t xml:space="preserve">  —  </w:t>
      </w:r>
      <w:r>
        <w:rPr>
          <w:rFonts w:ascii="Cairo" w:cs="Cairo" w:eastAsia="Cairo" w:hAnsi="Cairo"/>
          <w:b/>
          <w:bCs/>
          <w:i w:val="false"/>
          <w:iCs w:val="false"/>
          <w:color w:val="DFF2E3"/>
          <w:sz w:val="26"/>
          <w:szCs w:val="26"/>
        </w:rPr>
        <w:t xml:space="preserve">المحور ٣</w:t>
      </w:r>
    </w:p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تسهيل التعبئة الدائري مع تريجاز — الأولوية المالية الأولى (٢٠ دقيقة)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٣.١</w:t>
      </w:r>
    </w:p>
    <w:p>
      <w:pPr>
        <w:bidi/>
        <w:spacing w:after="60" w:before="60" w:line="32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2"/>
          <w:szCs w:val="22"/>
        </w:rPr>
        <w:t xml:space="preserve">الهيكل المقترح: 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حصة تريجاز ٢٥٪ في EzyGas هي الضمان التحتي لتسهيل دوّار للغاز. هذا يمنح EzyGas احتياطياً مضموناً من الغاز عند الإطلاق، ويحل أكبر فجوة في رأس المال العامل.</w:t>
      </w:r>
    </w:p>
    <w:p>
      <w:pPr>
        <w:bidi/>
        <w:spacing w:after="60" w:before="60" w:line="32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2"/>
          <w:szCs w:val="22"/>
        </w:rPr>
        <w:t xml:space="preserve">المبادئ المطلوب إقرارها: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الحد الأعلى للتسهيل بالجنيه والدولار (مرتبط بحصة تريجاز).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فترة الدوران (٣٠ / ٤٥ / ٦٠ يوماً) مع آلية خصم فواتير تلقائية.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محفزات إعادة التفاوض (تغير FX &gt; ١٠٪، تغير الدعم الحكومي، تغيير هيكل الحصة).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آلية السحب والإيداع — سجل Append-Only مُطابق لمعمارية دفتر النقدية.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التأمين والضمانات الإضافية — بدون تحميل EzyGas عبء سيولة مزدوج.</w:t>
      </w:r>
    </w:p>
    <w:p>
      <w:pPr>
        <w:pBdr>
          <w:top w:val="single" w:color="C7A600" w:sz="4"/>
          <w:left w:val="single" w:color="C7A600" w:sz="16"/>
          <w:bottom w:val="single" w:color="C7A600" w:sz="4"/>
          <w:right w:val="single" w:color="C7A600" w:sz="16"/>
        </w:pBdr>
        <w:shd w:fill="FFF8E1" w:val="clear"/>
        <w:bidi/>
        <w:spacing w:after="100" w:before="100" w:line="30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5A4500"/>
          <w:sz w:val="21"/>
          <w:szCs w:val="21"/>
        </w:rPr>
        <w:t xml:space="preserve">إقرار الهيكل الأولي للتسهيل وتفويض المفاوض لإنهاء الشروط خلال ٢١ يوماً.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 </w:t>
      </w:r>
      <w:r>
        <w:rPr>
          <w:rFonts w:ascii="Cairo" w:cs="Cairo" w:eastAsia="Cairo" w:hAnsi="Cairo"/>
          <w:b/>
          <w:bCs/>
          <w:i w:val="false"/>
          <w:iCs w:val="false"/>
          <w:color w:val="C7A600"/>
          <w:sz w:val="22"/>
          <w:szCs w:val="22"/>
        </w:rPr>
        <w:t xml:space="preserve">◆ قرار مطلوب: </w:t>
      </w:r>
    </w:p>
    <w:p>
      <w:pPr>
        <w:pBdr>
          <w:top w:val="single" w:color="C7A600" w:sz="4"/>
          <w:left w:val="single" w:color="C7A600" w:sz="16"/>
          <w:bottom w:val="single" w:color="C7A600" w:sz="4"/>
          <w:right w:val="single" w:color="C7A600" w:sz="16"/>
        </w:pBdr>
        <w:shd w:fill="FFF8E1" w:val="clear"/>
        <w:bidi/>
        <w:spacing w:after="100" w:before="100" w:line="30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5A4500"/>
          <w:sz w:val="21"/>
          <w:szCs w:val="21"/>
        </w:rPr>
        <w:t xml:space="preserve">ربط التسهيل بمادة تعاقدية في عقد تريجاز v3 (عدم التوقيع بشكل منفصل).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 </w:t>
      </w:r>
      <w:r>
        <w:rPr>
          <w:rFonts w:ascii="Cairo" w:cs="Cairo" w:eastAsia="Cairo" w:hAnsi="Cairo"/>
          <w:b/>
          <w:bCs/>
          <w:i w:val="false"/>
          <w:iCs w:val="false"/>
          <w:color w:val="C7A600"/>
          <w:sz w:val="22"/>
          <w:szCs w:val="22"/>
        </w:rPr>
        <w:t xml:space="preserve">◆ قرار مطلوب: </w:t>
      </w:r>
    </w:p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جولة البذرة ١٥–٢٠ مليون جنيه (١٥ دقيقة)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٣.٢</w:t>
      </w:r>
    </w:p>
    <w:tbl>
      <w:tblPr>
        <w:tblW w:type="dxa" w:w="92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200"/>
      </w:tblGrid>
      <w:tr>
        <w:tc>
          <w:tcPr>
            <w:tcW w:type="dxa" w:w="30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E2A52"/>
                <w:sz w:val="20"/>
                <w:szCs w:val="20"/>
              </w:rPr>
              <w:t xml:space="preserve">حجم الجولة</w:t>
            </w:r>
          </w:p>
        </w:tc>
        <w:tc>
          <w:tcPr>
            <w:tcW w:type="dxa" w:w="62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١٥–٢٠ مليون جنيه</w:t>
            </w:r>
          </w:p>
        </w:tc>
      </w:tr>
      <w:tr>
        <w:tc>
          <w:tcPr>
            <w:tcW w:type="dxa" w:w="30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E2A52"/>
                <w:sz w:val="20"/>
                <w:szCs w:val="20"/>
              </w:rPr>
              <w:t xml:space="preserve">العائد المتوقع للمستثمر</w:t>
            </w:r>
          </w:p>
        </w:tc>
        <w:tc>
          <w:tcPr>
            <w:tcW w:type="dxa" w:w="62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2E8B3D"/>
                <w:sz w:val="20"/>
                <w:szCs w:val="20"/>
              </w:rPr>
              <w:t xml:space="preserve">~٨.٧× على مدى ٣ سنوات</w:t>
            </w:r>
          </w:p>
        </w:tc>
      </w:tr>
      <w:tr>
        <w:tc>
          <w:tcPr>
            <w:tcW w:type="dxa" w:w="30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E2A52"/>
                <w:sz w:val="20"/>
                <w:szCs w:val="20"/>
              </w:rPr>
              <w:t xml:space="preserve">الوثائق المطلوبة</w:t>
            </w:r>
          </w:p>
        </w:tc>
        <w:tc>
          <w:tcPr>
            <w:tcW w:type="dxa" w:w="62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Pitch Deck، نموذج مالي ٥ سنوات، مذكرة استثمار، اتفاقية SAFE أو Equity.</w:t>
            </w:r>
          </w:p>
        </w:tc>
      </w:tr>
      <w:tr>
        <w:tc>
          <w:tcPr>
            <w:tcW w:type="dxa" w:w="30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E2A52"/>
                <w:sz w:val="20"/>
                <w:szCs w:val="20"/>
              </w:rPr>
              <w:t xml:space="preserve">مصادر التمويل المحتملة</w:t>
            </w:r>
          </w:p>
        </w:tc>
        <w:tc>
          <w:tcPr>
            <w:tcW w:type="dxa" w:w="62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مستثمرون استراتيجيون (طاقة، عقارات، FMCG)، صناديق VC إقليمية، Angel Investors معتمدون.</w:t>
            </w:r>
          </w:p>
        </w:tc>
      </w:tr>
      <w:tr>
        <w:tc>
          <w:tcPr>
            <w:tcW w:type="dxa" w:w="30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DFF2E3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E2A52"/>
                <w:sz w:val="20"/>
                <w:szCs w:val="20"/>
              </w:rPr>
              <w:t xml:space="preserve">الاستخدامات</w:t>
            </w:r>
          </w:p>
        </w:tc>
        <w:tc>
          <w:tcPr>
            <w:tcW w:type="dxa" w:w="62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رأس المال العامل، توسيع الفريق التنفيذي، التكنولوجيا (هجرة Next.js)، التسويق الأولي، احتياطي FX.</w:t>
            </w:r>
          </w:p>
        </w:tc>
      </w:tr>
    </w:tbl>
    <w:p>
      <w:pPr>
        <w:pBdr>
          <w:top w:val="single" w:color="C7A600" w:sz="4"/>
          <w:left w:val="single" w:color="C7A600" w:sz="16"/>
          <w:bottom w:val="single" w:color="C7A600" w:sz="4"/>
          <w:right w:val="single" w:color="C7A600" w:sz="16"/>
        </w:pBdr>
        <w:shd w:fill="FFF8E1" w:val="clear"/>
        <w:bidi/>
        <w:spacing w:after="100" w:before="100" w:line="30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5A4500"/>
          <w:sz w:val="21"/>
          <w:szCs w:val="21"/>
        </w:rPr>
        <w:t xml:space="preserve">إقرار التقييم المستهدف قبل الجولة (Pre-money) وآلية تخفيف الحصة (Dilution Cap).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 </w:t>
      </w:r>
      <w:r>
        <w:rPr>
          <w:rFonts w:ascii="Cairo" w:cs="Cairo" w:eastAsia="Cairo" w:hAnsi="Cairo"/>
          <w:b/>
          <w:bCs/>
          <w:i w:val="false"/>
          <w:iCs w:val="false"/>
          <w:color w:val="C7A600"/>
          <w:sz w:val="22"/>
          <w:szCs w:val="22"/>
        </w:rPr>
        <w:t xml:space="preserve">◆ قرار مطلوب: </w:t>
      </w:r>
    </w:p>
    <w:p>
      <w:pPr>
        <w:pBdr>
          <w:top w:val="single" w:color="C7A600" w:sz="4"/>
          <w:left w:val="single" w:color="C7A600" w:sz="16"/>
          <w:bottom w:val="single" w:color="C7A600" w:sz="4"/>
          <w:right w:val="single" w:color="C7A600" w:sz="16"/>
        </w:pBdr>
        <w:shd w:fill="FFF8E1" w:val="clear"/>
        <w:bidi/>
        <w:spacing w:after="100" w:before="100" w:line="30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5A4500"/>
          <w:sz w:val="21"/>
          <w:szCs w:val="21"/>
        </w:rPr>
        <w:t xml:space="preserve">تحديد تاريخ إطلاق جولة البذرة رسمياً.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 </w:t>
      </w:r>
      <w:r>
        <w:rPr>
          <w:rFonts w:ascii="Cairo" w:cs="Cairo" w:eastAsia="Cairo" w:hAnsi="Cairo"/>
          <w:b/>
          <w:bCs/>
          <w:i w:val="false"/>
          <w:iCs w:val="false"/>
          <w:color w:val="C7A600"/>
          <w:sz w:val="22"/>
          <w:szCs w:val="22"/>
        </w:rPr>
        <w:t xml:space="preserve">◆ قرار مطلوب: </w:t>
      </w:r>
    </w:p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مراقبة سعر الصرف EGP/USD (١٠ دقائق)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٣.٣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1"/>
          <w:szCs w:val="21"/>
        </w:rPr>
        <w:t xml:space="preserve">العتبة الحرجة: 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٥٧–٥٨ جنيه/دولار — نقطة تفعيل مراجعة السعر الاستهلاكي.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1"/>
          <w:szCs w:val="21"/>
        </w:rPr>
        <w:t xml:space="preserve">الموقف الحالي: 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المراجعة مؤجلة حتى الربع الرابع ٢٠٢٦ على الأقل.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1"/>
          <w:szCs w:val="21"/>
        </w:rPr>
        <w:t xml:space="preserve">السياسة المقترحة: 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احتفاظ باحتياطي دولاري يغطي ٢–٣ أشهر من تكاليف التوريد.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انضباط السعر يجب أن يصمد في ظل الظروف الحالية — الحفاظ على النطاق التنافسي أهم من الهامش الفوري.</w:t>
      </w:r>
    </w:p>
    <w:p>
      <w:pPr>
        <w:pBdr>
          <w:top w:val="single" w:color="C7A600" w:sz="4"/>
          <w:left w:val="single" w:color="C7A600" w:sz="16"/>
          <w:bottom w:val="single" w:color="C7A600" w:sz="4"/>
          <w:right w:val="single" w:color="C7A600" w:sz="16"/>
        </w:pBdr>
        <w:shd w:fill="FFF8E1" w:val="clear"/>
        <w:bidi/>
        <w:spacing w:after="100" w:before="100" w:line="30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5A4500"/>
          <w:sz w:val="21"/>
          <w:szCs w:val="21"/>
        </w:rPr>
        <w:t xml:space="preserve">إقرار سياسة الاحتياطي الدولاري ومصادر التمويل بالعملة الصعبة.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 </w:t>
      </w:r>
      <w:r>
        <w:rPr>
          <w:rFonts w:ascii="Cairo" w:cs="Cairo" w:eastAsia="Cairo" w:hAnsi="Cairo"/>
          <w:b/>
          <w:bCs/>
          <w:i w:val="false"/>
          <w:iCs w:val="false"/>
          <w:color w:val="C7A600"/>
          <w:sz w:val="22"/>
          <w:szCs w:val="22"/>
        </w:rPr>
        <w:t xml:space="preserve">◆ قرار مطلوب: </w:t>
      </w:r>
    </w:p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وحدة الاقتصاد وسرعة النشر (٥ دقائق)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٣.٤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المتغير الأهم في النموذج المالي: سرعة النشر. الهامش كله يعتمد عليه.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Tier A عند النشر الكامل: صافي ربح سنوي ٦١.٦م جنيه، هامش EBITDA ٧١.٤٪، IRR ٦٥–٧٥٪.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الهدف: الوصول إلى ٢٠,٠٠٠ أسطوانة منشورة في ٢٠٢٦ كنقطة تحول مالية.</w:t>
      </w:r>
    </w:p>
    <w:p>
      <w:r>
        <w:br w:type="page"/>
      </w:r>
    </w:p>
    <w:p>
      <w:pPr>
        <w:pBdr>
          <w:top w:val="single" w:color="0E2A52" w:sz="8"/>
          <w:left w:val="single" w:color="2E8B3D" w:sz="24"/>
          <w:bottom w:val="single" w:color="0E2A52" w:sz="8"/>
          <w:right w:val="single" w:color="2E8B3D" w:sz="24"/>
        </w:pBdr>
        <w:shd w:fill="0E2A52" w:val="clear"/>
        <w:bidi/>
        <w:spacing w:after="120" w:before="280" w:line="34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D9E4F0"/>
          <w:sz w:val="20"/>
          <w:szCs w:val="20"/>
        </w:rPr>
        <w:t xml:space="preserve">  ٣٠ دقيقة  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6A89B5"/>
          <w:sz w:val="20"/>
          <w:szCs w:val="20"/>
        </w:rPr>
        <w:t xml:space="preserve">  |  </w:t>
      </w:r>
      <w:r>
        <w:rPr>
          <w:rFonts w:ascii="Cairo" w:cs="Cairo" w:eastAsia="Cairo" w:hAnsi="Cairo"/>
          <w:b/>
          <w:bCs/>
          <w:i w:val="false"/>
          <w:iCs w:val="false"/>
          <w:color w:val="FFFFFF"/>
          <w:sz w:val="28"/>
          <w:szCs w:val="28"/>
        </w:rPr>
        <w:t xml:space="preserve">الإطلاق التجاري والنمو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6A89B5"/>
          <w:sz w:val="28"/>
          <w:szCs w:val="28"/>
        </w:rPr>
        <w:t xml:space="preserve">  —  </w:t>
      </w:r>
      <w:r>
        <w:rPr>
          <w:rFonts w:ascii="Cairo" w:cs="Cairo" w:eastAsia="Cairo" w:hAnsi="Cairo"/>
          <w:b/>
          <w:bCs/>
          <w:i w:val="false"/>
          <w:iCs w:val="false"/>
          <w:color w:val="DFF2E3"/>
          <w:sz w:val="26"/>
          <w:szCs w:val="26"/>
        </w:rPr>
        <w:t xml:space="preserve">المحور ٤</w:t>
      </w:r>
    </w:p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خط أنابيب الموزعين — الحالة والأهداف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٤.١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الهدف ٢٠٢٦: استقطاب موزع Tier A واحد على الأقل + ٢–٣ موزعين Tier B/C.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القناة: استهداف مشغلين لهم بنية لوجستية قائمة (توزيع FMCG، بريد، إدارة مرافق).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أداة الاستقطاب: دراسة الجدوى الكاملة ٢٠٢٦ (جاهزة) + Feasibility deck مختصر.</w:t>
      </w:r>
    </w:p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شراكات مطوري العقارات — رافعة CAC صفر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٤.٢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الفرصة: العاصمة الإدارية، القاهرة الجديدة، الساحل الشمالي، مدينة العلمين الجديدة.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النموذج: EzyGas مورد حصري للغاز في الكمبوندات الجديدة، وتثبيت الأسطوانات كجزء من حزمة تسليم الوحدة.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الأثر: تصفير تكلفة اكتساب العملاء — كل كمبوند = ١,٠٠٠+ عميل محاصر من اليوم الأول.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الأولوية: الحركة المبكرة — تأمين الشراكة قبل بناء البنية التحتية.</w:t>
      </w:r>
    </w:p>
    <w:p>
      <w:pPr>
        <w:pBdr>
          <w:top w:val="single" w:color="C7A600" w:sz="4"/>
          <w:left w:val="single" w:color="C7A600" w:sz="16"/>
          <w:bottom w:val="single" w:color="C7A600" w:sz="4"/>
          <w:right w:val="single" w:color="C7A600" w:sz="16"/>
        </w:pBdr>
        <w:shd w:fill="FFF8E1" w:val="clear"/>
        <w:bidi/>
        <w:spacing w:after="100" w:before="100" w:line="30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5A4500"/>
          <w:sz w:val="21"/>
          <w:szCs w:val="21"/>
        </w:rPr>
        <w:t xml:space="preserve">تعيين مسؤول شراكات المطورين مع هدف ٢–٣ اتفاقيات مبدئية في ٢٠٢٦.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 </w:t>
      </w:r>
      <w:r>
        <w:rPr>
          <w:rFonts w:ascii="Cairo" w:cs="Cairo" w:eastAsia="Cairo" w:hAnsi="Cairo"/>
          <w:b/>
          <w:bCs/>
          <w:i w:val="false"/>
          <w:iCs w:val="false"/>
          <w:color w:val="C7A600"/>
          <w:sz w:val="22"/>
          <w:szCs w:val="22"/>
        </w:rPr>
        <w:t xml:space="preserve">◆ قرار مطلوب: </w:t>
      </w:r>
    </w:p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خط أنابيب B2B — الضيافة والسياحة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٤.٣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القطاع المستهدف: فنادق، مطاعم، مقاهي، منتجعات (خاصة الساحل الشمالي والبحر الأحمر).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الهدف الحد الأدنى: ٢٠٠ حساب تجاري في السنة الأولى.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الأثر المالي: ١٥–٢٥ مليون جنيه إيراد تعبئة إضافي في السنة الثانية.</w:t>
      </w:r>
    </w:p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شبكة الموزعين الفرعيين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٤.٤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النموذج: ٢٠–٣٠ موزع فرعي يوسّعون النطاق الفعلي إلى ٢٠٠,٠٠٠+ عميل دون زيادة متناسبة في رأس المال.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الهامش للموزع الفرعي: ٣٪ فوق التكلفة الأساسية للموزع الرئيسي.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التركيز الجغرافي: المدن الأقمار والأحياء الطرفية (العبور، العاشر من رمضان، برج العرب).</w:t>
      </w:r>
    </w:p>
    <w:p>
      <w:pPr>
        <w:pBdr>
          <w:top w:val="single" w:color="C7A600" w:sz="4"/>
          <w:left w:val="single" w:color="C7A600" w:sz="16"/>
          <w:bottom w:val="single" w:color="C7A600" w:sz="4"/>
          <w:right w:val="single" w:color="C7A600" w:sz="16"/>
        </w:pBdr>
        <w:shd w:fill="FFF8E1" w:val="clear"/>
        <w:bidi/>
        <w:spacing w:after="100" w:before="100" w:line="30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5A4500"/>
          <w:sz w:val="21"/>
          <w:szCs w:val="21"/>
        </w:rPr>
        <w:t xml:space="preserve">إقرار الفئة الجغرافية ذات الأولوية والأهداف الربعية للربع الأول.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 </w:t>
      </w:r>
      <w:r>
        <w:rPr>
          <w:rFonts w:ascii="Cairo" w:cs="Cairo" w:eastAsia="Cairo" w:hAnsi="Cairo"/>
          <w:b/>
          <w:bCs/>
          <w:i w:val="false"/>
          <w:iCs w:val="false"/>
          <w:color w:val="C7A600"/>
          <w:sz w:val="22"/>
          <w:szCs w:val="22"/>
        </w:rPr>
        <w:t xml:space="preserve">◆ قرار مطلوب: </w:t>
      </w:r>
    </w:p>
    <w:p>
      <w:r>
        <w:br w:type="page"/>
      </w:r>
    </w:p>
    <w:p>
      <w:pPr>
        <w:pBdr>
          <w:top w:val="single" w:color="0E2A52" w:sz="8"/>
          <w:left w:val="single" w:color="2E8B3D" w:sz="24"/>
          <w:bottom w:val="single" w:color="0E2A52" w:sz="8"/>
          <w:right w:val="single" w:color="2E8B3D" w:sz="24"/>
        </w:pBdr>
        <w:shd w:fill="0E2A52" w:val="clear"/>
        <w:bidi/>
        <w:spacing w:after="120" w:before="280" w:line="34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D9E4F0"/>
          <w:sz w:val="20"/>
          <w:szCs w:val="20"/>
        </w:rPr>
        <w:t xml:space="preserve">  ٢٥ دقيقة  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6A89B5"/>
          <w:sz w:val="20"/>
          <w:szCs w:val="20"/>
        </w:rPr>
        <w:t xml:space="preserve">  |  </w:t>
      </w:r>
      <w:r>
        <w:rPr>
          <w:rFonts w:ascii="Cairo" w:cs="Cairo" w:eastAsia="Cairo" w:hAnsi="Cairo"/>
          <w:b/>
          <w:bCs/>
          <w:i w:val="false"/>
          <w:iCs w:val="false"/>
          <w:color w:val="FFFFFF"/>
          <w:sz w:val="28"/>
          <w:szCs w:val="28"/>
        </w:rPr>
        <w:t xml:space="preserve">التكنولوجيا والعمليات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6A89B5"/>
          <w:sz w:val="28"/>
          <w:szCs w:val="28"/>
        </w:rPr>
        <w:t xml:space="preserve">  —  </w:t>
      </w:r>
      <w:r>
        <w:rPr>
          <w:rFonts w:ascii="Cairo" w:cs="Cairo" w:eastAsia="Cairo" w:hAnsi="Cairo"/>
          <w:b/>
          <w:bCs/>
          <w:i w:val="false"/>
          <w:iCs w:val="false"/>
          <w:color w:val="DFF2E3"/>
          <w:sz w:val="26"/>
          <w:szCs w:val="26"/>
        </w:rPr>
        <w:t xml:space="preserve">المحور ٥</w:t>
      </w:r>
    </w:p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هجرة الموقع إلى Next.js/Nuxt مع SSR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٥.١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السبب: تحسين SEO + مصداقية استقطاب الموزعين + سرعة تحميل لمستخدمي الهاتف.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الأثر: أداة بيع حقيقية بدلاً من صفحة تعريفية.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الجدول الزمني المقترح: ٦–٨ أسابيع تنفيذ.</w:t>
      </w:r>
    </w:p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مركز قيادة العمليات بالذكاء الاصطناعي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٥.٢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00000"/>
          <w:sz w:val="21"/>
          <w:szCs w:val="21"/>
        </w:rPr>
        <w:t xml:space="preserve">البنية: 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OpenClaw + Discord + Notion — صاحب القرار الوحيد محمد الزيات.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OpenClaw يغطي حالياً أدوار CFO، CTO، HR، Legal، CMO في غياب الفريق الفعلي.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التحدي: الانتقال التدريجي من AI-first إلى Human-AI Hybrid مع توسع الفريق.</w:t>
      </w:r>
    </w:p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أمن المعلومات — إصلاح فوري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٥.٣</w:t>
      </w:r>
    </w:p>
    <w:p>
      <w:pPr>
        <w:bidi/>
        <w:spacing w:after="60" w:before="60" w:line="32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B22222"/>
          <w:sz w:val="22"/>
          <w:szCs w:val="22"/>
        </w:rPr>
        <w:t xml:space="preserve">⚠️  إشعار أمني: 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B22222"/>
          <w:sz w:val="21"/>
          <w:szCs w:val="21"/>
        </w:rPr>
        <w:t xml:space="preserve">تم رصد تسريب لـ Discord Bot Token — يتطلب إعادة إنشاء فورية وفحص نطاق الأثر.</w:t>
      </w:r>
    </w:p>
    <w:p>
      <w:pPr>
        <w:pBdr>
          <w:top w:val="single" w:color="C7A600" w:sz="4"/>
          <w:left w:val="single" w:color="C7A600" w:sz="16"/>
          <w:bottom w:val="single" w:color="C7A600" w:sz="4"/>
          <w:right w:val="single" w:color="C7A600" w:sz="16"/>
        </w:pBdr>
        <w:shd w:fill="FFF8E1" w:val="clear"/>
        <w:bidi/>
        <w:spacing w:after="100" w:before="100" w:line="30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5A4500"/>
          <w:sz w:val="21"/>
          <w:szCs w:val="21"/>
        </w:rPr>
        <w:t xml:space="preserve">إجراء إصلاح أمني فوري (اليوم) + مراجعة ممارسات إدارة المفاتيح السرية.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 </w:t>
      </w:r>
      <w:r>
        <w:rPr>
          <w:rFonts w:ascii="Cairo" w:cs="Cairo" w:eastAsia="Cairo" w:hAnsi="Cairo"/>
          <w:b/>
          <w:bCs/>
          <w:i w:val="false"/>
          <w:iCs w:val="false"/>
          <w:color w:val="C7A600"/>
          <w:sz w:val="22"/>
          <w:szCs w:val="22"/>
        </w:rPr>
        <w:t xml:space="preserve">◆ قرار مطلوب: </w:t>
      </w:r>
    </w:p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بنية تتبع الأسطوانات — جاهزية الإطلاق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٥.٤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آلة حالة الأسطوانة (Empty → Filled → In-Transit → Delivered): السيرفر هو المرجع المطلق.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تطبيق السائق (Offline-First): SQLite/WatermelonDB مع Outbox للمزامنة.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ضوابط الاحتيال: قبول تلقائي لأسطوانات EzyGas، إيداع ٢٠٠ جنيه لأسطوانات المركب المنافسة، رفض أسطوانات الحديد.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حد محفظة السائق ٥,٠٠٠ جنيه — تجاوزها يوقف تلقي الطلبات حتى الإيداع في المركز.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سجلات المال: Append-Only — لا حقول قابلة للتعديل في الميزانيات.</w:t>
      </w:r>
    </w:p>
    <w:p>
      <w:pPr>
        <w:pBdr>
          <w:top w:val="single" w:color="C7A600" w:sz="4"/>
          <w:left w:val="single" w:color="C7A600" w:sz="16"/>
          <w:bottom w:val="single" w:color="C7A600" w:sz="4"/>
          <w:right w:val="single" w:color="C7A600" w:sz="16"/>
        </w:pBdr>
        <w:shd w:fill="FFF8E1" w:val="clear"/>
        <w:bidi/>
        <w:spacing w:after="100" w:before="100" w:line="30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5A4500"/>
          <w:sz w:val="21"/>
          <w:szCs w:val="21"/>
        </w:rPr>
        <w:t xml:space="preserve">إقرار بوابة جاهزية الإطلاق (Launch Readiness Gate) — معايير تقنية لا يُسمح بالإطلاق التجاري بدونها.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 </w:t>
      </w:r>
      <w:r>
        <w:rPr>
          <w:rFonts w:ascii="Cairo" w:cs="Cairo" w:eastAsia="Cairo" w:hAnsi="Cairo"/>
          <w:b/>
          <w:bCs/>
          <w:i w:val="false"/>
          <w:iCs w:val="false"/>
          <w:color w:val="C7A600"/>
          <w:sz w:val="22"/>
          <w:szCs w:val="22"/>
        </w:rPr>
        <w:t xml:space="preserve">◆ قرار مطلوب: </w:t>
      </w:r>
    </w:p>
    <w:p>
      <w:r>
        <w:br w:type="page"/>
      </w:r>
    </w:p>
    <w:p>
      <w:pPr>
        <w:pBdr>
          <w:top w:val="single" w:color="0E2A52" w:sz="8"/>
          <w:left w:val="single" w:color="2E8B3D" w:sz="24"/>
          <w:bottom w:val="single" w:color="0E2A52" w:sz="8"/>
          <w:right w:val="single" w:color="2E8B3D" w:sz="24"/>
        </w:pBdr>
        <w:shd w:fill="0E2A52" w:val="clear"/>
        <w:bidi/>
        <w:spacing w:after="120" w:before="280" w:line="34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D9E4F0"/>
          <w:sz w:val="20"/>
          <w:szCs w:val="20"/>
        </w:rPr>
        <w:t xml:space="preserve">  ١٥ دقيقة  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6A89B5"/>
          <w:sz w:val="20"/>
          <w:szCs w:val="20"/>
        </w:rPr>
        <w:t xml:space="preserve">  |  </w:t>
      </w:r>
      <w:r>
        <w:rPr>
          <w:rFonts w:ascii="Cairo" w:cs="Cairo" w:eastAsia="Cairo" w:hAnsi="Cairo"/>
          <w:b/>
          <w:bCs/>
          <w:i w:val="false"/>
          <w:iCs w:val="false"/>
          <w:color w:val="FFFFFF"/>
          <w:sz w:val="28"/>
          <w:szCs w:val="28"/>
        </w:rPr>
        <w:t xml:space="preserve">المخاطر والحوكمة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6A89B5"/>
          <w:sz w:val="28"/>
          <w:szCs w:val="28"/>
        </w:rPr>
        <w:t xml:space="preserve">  —  </w:t>
      </w:r>
      <w:r>
        <w:rPr>
          <w:rFonts w:ascii="Cairo" w:cs="Cairo" w:eastAsia="Cairo" w:hAnsi="Cairo"/>
          <w:b/>
          <w:bCs/>
          <w:i w:val="false"/>
          <w:iCs w:val="false"/>
          <w:color w:val="DFF2E3"/>
          <w:sz w:val="26"/>
          <w:szCs w:val="26"/>
        </w:rPr>
        <w:t xml:space="preserve">المحور ٦</w:t>
      </w:r>
    </w:p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مصفوفة المخاطر الحرجة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٦.١</w:t>
      </w:r>
    </w:p>
    <w:tbl>
      <w:tblPr>
        <w:tblW w:type="dxa" w:w="92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1600"/>
        <w:gridCol w:w="1600"/>
        <w:gridCol w:w="2400"/>
      </w:tblGrid>
      <w:tr>
        <w:trPr>
          <w:tblHeader/>
        </w:trPr>
        <w:tc>
          <w:tcPr>
            <w:tcW w:type="dxa" w:w="3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0E2A5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الخطر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0E2A5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الاحتمال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0E2A5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الأثر</w:t>
            </w:r>
          </w:p>
        </w:tc>
        <w:tc>
          <w:tcPr>
            <w:tcW w:type="dxa" w:w="2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0E2A5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الحالة</w:t>
            </w:r>
          </w:p>
        </w:tc>
      </w:tr>
      <w:tr>
        <w:tc>
          <w:tcPr>
            <w:tcW w:type="dxa" w:w="3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المنطقة التنظيمية الرمادية للأسطوانات المركبة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B22222"/>
                <w:sz w:val="20"/>
                <w:szCs w:val="20"/>
              </w:rPr>
              <w:t xml:space="preserve">مرتفع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B22222"/>
                <w:sz w:val="20"/>
                <w:szCs w:val="20"/>
              </w:rPr>
              <w:t xml:space="preserve">حرج</w:t>
            </w:r>
          </w:p>
        </w:tc>
        <w:tc>
          <w:tcPr>
            <w:tcW w:type="dxa" w:w="2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قيد المعالجة — المحور ٢</w:t>
            </w:r>
          </w:p>
        </w:tc>
      </w:tr>
      <w:tr>
        <w:tc>
          <w:tcPr>
            <w:tcW w:type="dxa" w:w="3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اضطراب إمداد Petrogas/Butagasco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C7A600"/>
                <w:sz w:val="20"/>
                <w:szCs w:val="20"/>
              </w:rPr>
              <w:t xml:space="preserve">متوسط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B22222"/>
                <w:sz w:val="20"/>
                <w:szCs w:val="20"/>
              </w:rPr>
              <w:t xml:space="preserve">حرج</w:t>
            </w:r>
          </w:p>
        </w:tc>
        <w:tc>
          <w:tcPr>
            <w:tcW w:type="dxa" w:w="2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يحتاج عقد — المحور ٢.٢</w:t>
            </w:r>
          </w:p>
        </w:tc>
      </w:tr>
      <w:tr>
        <w:tc>
          <w:tcPr>
            <w:tcW w:type="dxa" w:w="3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تقلب FX يرفع تكاليف التوريد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B22222"/>
                <w:sz w:val="20"/>
                <w:szCs w:val="20"/>
              </w:rPr>
              <w:t xml:space="preserve">مرتفع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C7A600"/>
                <w:sz w:val="20"/>
                <w:szCs w:val="20"/>
              </w:rPr>
              <w:t xml:space="preserve">مرتفع</w:t>
            </w:r>
          </w:p>
        </w:tc>
        <w:tc>
          <w:tcPr>
            <w:tcW w:type="dxa" w:w="2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سياسة احتياطي — المحور ٣.٣</w:t>
            </w:r>
          </w:p>
        </w:tc>
      </w:tr>
      <w:tr>
        <w:tc>
          <w:tcPr>
            <w:tcW w:type="dxa" w:w="3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بطء سرعة النشر — تآكل الهامش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C7A600"/>
                <w:sz w:val="20"/>
                <w:szCs w:val="20"/>
              </w:rPr>
              <w:t xml:space="preserve">متوسط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C7A600"/>
                <w:sz w:val="20"/>
                <w:szCs w:val="20"/>
              </w:rPr>
              <w:t xml:space="preserve">مرتفع</w:t>
            </w:r>
          </w:p>
        </w:tc>
        <w:tc>
          <w:tcPr>
            <w:tcW w:type="dxa" w:w="2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قيد المراقبة — المحور ٣.٤</w:t>
            </w:r>
          </w:p>
        </w:tc>
      </w:tr>
      <w:tr>
        <w:tc>
          <w:tcPr>
            <w:tcW w:type="dxa" w:w="3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تسريب رمز Discord (أمن معلومات)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B22222"/>
                <w:sz w:val="20"/>
                <w:szCs w:val="20"/>
              </w:rPr>
              <w:t xml:space="preserve">وقع فعلاً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C7A600"/>
                <w:sz w:val="20"/>
                <w:szCs w:val="20"/>
              </w:rPr>
              <w:t xml:space="preserve">متوسط</w:t>
            </w:r>
          </w:p>
        </w:tc>
        <w:tc>
          <w:tcPr>
            <w:tcW w:type="dxa" w:w="2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B22222"/>
                <w:sz w:val="19"/>
                <w:szCs w:val="19"/>
              </w:rPr>
              <w:t xml:space="preserve">إصلاح فوري — المحور ٥.٣</w:t>
            </w:r>
          </w:p>
        </w:tc>
      </w:tr>
      <w:tr>
        <w:tc>
          <w:tcPr>
            <w:tcW w:type="dxa" w:w="3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تخلي تريجاز عن حق التعيين الأحادي (مُعالَج)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2E8B3D"/>
                <w:sz w:val="20"/>
                <w:szCs w:val="20"/>
              </w:rPr>
              <w:t xml:space="preserve">منخفض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C7A600"/>
                <w:sz w:val="20"/>
                <w:szCs w:val="20"/>
              </w:rPr>
              <w:t xml:space="preserve">مرتفع</w:t>
            </w:r>
          </w:p>
        </w:tc>
        <w:tc>
          <w:tcPr>
            <w:tcW w:type="dxa" w:w="2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2E8B3D"/>
                <w:sz w:val="19"/>
                <w:szCs w:val="19"/>
              </w:rPr>
              <w:t xml:space="preserve">مُعالَج في v3</w:t>
            </w:r>
          </w:p>
        </w:tc>
      </w:tr>
    </w:tbl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الحوكمة والامتثال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٦.٢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التحكيم: CRCICA معيار موحد لجميع العقود.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المستشار القانوني: إبراهيم يوسري البصل — مراجعة مستمرة لكل مسودات العقود.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المدير التنفيذي والتجاري: محمد صبحي رزق — نقطة اتصال تنفيذية.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وثائق حوكمة: لائحة القرارات، سجل المحاضر، سجل المخاطر في Notion.</w:t>
      </w:r>
    </w:p>
    <w:p>
      <w:r>
        <w:br w:type="page"/>
      </w:r>
    </w:p>
    <w:p>
      <w:pPr>
        <w:pBdr>
          <w:top w:val="single" w:color="0E2A52" w:sz="8"/>
          <w:left w:val="single" w:color="2E8B3D" w:sz="24"/>
          <w:bottom w:val="single" w:color="0E2A52" w:sz="8"/>
          <w:right w:val="single" w:color="2E8B3D" w:sz="24"/>
        </w:pBdr>
        <w:shd w:fill="0E2A52" w:val="clear"/>
        <w:bidi/>
        <w:spacing w:after="120" w:before="280" w:line="34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D9E4F0"/>
          <w:sz w:val="20"/>
          <w:szCs w:val="20"/>
        </w:rPr>
        <w:t xml:space="preserve">  ٢٠ دقيقة  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6A89B5"/>
          <w:sz w:val="20"/>
          <w:szCs w:val="20"/>
        </w:rPr>
        <w:t xml:space="preserve">  |  </w:t>
      </w:r>
      <w:r>
        <w:rPr>
          <w:rFonts w:ascii="Cairo" w:cs="Cairo" w:eastAsia="Cairo" w:hAnsi="Cairo"/>
          <w:b/>
          <w:bCs/>
          <w:i w:val="false"/>
          <w:iCs w:val="false"/>
          <w:color w:val="FFFFFF"/>
          <w:sz w:val="28"/>
          <w:szCs w:val="28"/>
        </w:rPr>
        <w:t xml:space="preserve">سجل القرارات والإجراءات التالية</w:t>
      </w:r>
      <w:r>
        <w:rPr>
          <w:rFonts w:ascii="Cairo" w:cs="Cairo" w:eastAsia="Cairo" w:hAnsi="Cairo"/>
          <w:b w:val="false"/>
          <w:bCs w:val="false"/>
          <w:i w:val="false"/>
          <w:iCs w:val="false"/>
          <w:color w:val="6A89B5"/>
          <w:sz w:val="28"/>
          <w:szCs w:val="28"/>
        </w:rPr>
        <w:t xml:space="preserve">  —  </w:t>
      </w:r>
      <w:r>
        <w:rPr>
          <w:rFonts w:ascii="Cairo" w:cs="Cairo" w:eastAsia="Cairo" w:hAnsi="Cairo"/>
          <w:b/>
          <w:bCs/>
          <w:i w:val="false"/>
          <w:iCs w:val="false"/>
          <w:color w:val="DFF2E3"/>
          <w:sz w:val="26"/>
          <w:szCs w:val="26"/>
        </w:rPr>
        <w:t xml:space="preserve">المحور ٧</w:t>
      </w:r>
    </w:p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القرارات المطلوبة — للتصويت أو الإقرار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٧.١</w:t>
      </w:r>
    </w:p>
    <w:tbl>
      <w:tblPr>
        <w:tblW w:type="dxa" w:w="92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5800"/>
        <w:gridCol w:w="1500"/>
        <w:gridCol w:w="1400"/>
      </w:tblGrid>
      <w:tr>
        <w:trPr>
          <w:tblHeader/>
        </w:trPr>
        <w:tc>
          <w:tcPr>
            <w:tcW w:type="dxa" w:w="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0E2A5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5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0E2A5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القرار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0E2A5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المرجع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0E2A5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الموافقة</w:t>
            </w:r>
          </w:p>
        </w:tc>
      </w:tr>
      <w:tr>
        <w:tc>
          <w:tcPr>
            <w:tcW w:type="dxa" w:w="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١</w:t>
            </w:r>
          </w:p>
        </w:tc>
        <w:tc>
          <w:tcPr>
            <w:tcW w:type="dxa" w:w="5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تعيين مالك وتاريخ نهائي لجمع وثائق الجهة المنظِمة ودمجها في عقد تريجاز v3.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2E8B3D"/>
                <w:sz w:val="20"/>
                <w:szCs w:val="20"/>
              </w:rPr>
              <w:t xml:space="preserve">١.١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</w:tr>
      <w:tr>
        <w:tc>
          <w:tcPr>
            <w:tcW w:type="dxa" w:w="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٢</w:t>
            </w:r>
          </w:p>
        </w:tc>
        <w:tc>
          <w:tcPr>
            <w:tcW w:type="dxa" w:w="5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إقرار صياغة مادة "التعبئة والتسهيل الدائري" كبند تعاقدي مُلزِم في v3.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2E8B3D"/>
                <w:sz w:val="20"/>
                <w:szCs w:val="20"/>
              </w:rPr>
              <w:t xml:space="preserve">١.١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</w:tr>
      <w:tr>
        <w:tc>
          <w:tcPr>
            <w:tcW w:type="dxa" w:w="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٣</w:t>
            </w:r>
          </w:p>
        </w:tc>
        <w:tc>
          <w:tcPr>
            <w:tcW w:type="dxa" w:w="5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تحديد تاريخ مستهدف لتوقيع عقد تريجاز v3.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2E8B3D"/>
                <w:sz w:val="20"/>
                <w:szCs w:val="20"/>
              </w:rPr>
              <w:t xml:space="preserve">١.١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</w:tr>
      <w:tr>
        <w:tc>
          <w:tcPr>
            <w:tcW w:type="dxa" w:w="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٤</w:t>
            </w:r>
          </w:p>
        </w:tc>
        <w:tc>
          <w:tcPr>
            <w:tcW w:type="dxa" w:w="5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إصدار تعديل كتابي يحل تناقض إيداع Entry (٢٥٪ مقابل ٢٠٪).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2E8B3D"/>
                <w:sz w:val="20"/>
                <w:szCs w:val="20"/>
              </w:rPr>
              <w:t xml:space="preserve">١.٢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</w:tr>
      <w:tr>
        <w:tc>
          <w:tcPr>
            <w:tcW w:type="dxa" w:w="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٥</w:t>
            </w:r>
          </w:p>
        </w:tc>
        <w:tc>
          <w:tcPr>
            <w:tcW w:type="dxa" w:w="5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وضع سقف ٢٪ لـ"التكاليف الفعلية" مع قائمة استخدامات مسموح بها.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2E8B3D"/>
                <w:sz w:val="20"/>
                <w:szCs w:val="20"/>
              </w:rPr>
              <w:t xml:space="preserve">١.٢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</w:tr>
      <w:tr>
        <w:tc>
          <w:tcPr>
            <w:tcW w:type="dxa" w:w="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٦</w:t>
            </w:r>
          </w:p>
        </w:tc>
        <w:tc>
          <w:tcPr>
            <w:tcW w:type="dxa" w:w="5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إقرار تاريخ إطلاق برنامج الموزعين المعتمدين.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2E8B3D"/>
                <w:sz w:val="20"/>
                <w:szCs w:val="20"/>
              </w:rPr>
              <w:t xml:space="preserve">١.٢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</w:tr>
      <w:tr>
        <w:tc>
          <w:tcPr>
            <w:tcW w:type="dxa" w:w="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٧</w:t>
            </w:r>
          </w:p>
        </w:tc>
        <w:tc>
          <w:tcPr>
            <w:tcW w:type="dxa" w:w="5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تعيين مالك ملف GMRA واعتماد الأسطوانات المركبة + ميزانية.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2E8B3D"/>
                <w:sz w:val="20"/>
                <w:szCs w:val="20"/>
              </w:rPr>
              <w:t xml:space="preserve">٢.١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</w:tr>
      <w:tr>
        <w:tc>
          <w:tcPr>
            <w:tcW w:type="dxa" w:w="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٨</w:t>
            </w:r>
          </w:p>
        </w:tc>
        <w:tc>
          <w:tcPr>
            <w:tcW w:type="dxa" w:w="5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تفويض فريق التفاوض مع Petrogas/Butagasco خلال ٣٠ يوماً.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2E8B3D"/>
                <w:sz w:val="20"/>
                <w:szCs w:val="20"/>
              </w:rPr>
              <w:t xml:space="preserve">٢.٢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</w:tr>
      <w:tr>
        <w:tc>
          <w:tcPr>
            <w:tcW w:type="dxa" w:w="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٩</w:t>
            </w:r>
          </w:p>
        </w:tc>
        <w:tc>
          <w:tcPr>
            <w:tcW w:type="dxa" w:w="5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إقرار الهيكل الأولي لتسهيل تريجاز الدائري وتفويض المفاوض.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2E8B3D"/>
                <w:sz w:val="20"/>
                <w:szCs w:val="20"/>
              </w:rPr>
              <w:t xml:space="preserve">٣.١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</w:tr>
      <w:tr>
        <w:tc>
          <w:tcPr>
            <w:tcW w:type="dxa" w:w="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١٠</w:t>
            </w:r>
          </w:p>
        </w:tc>
        <w:tc>
          <w:tcPr>
            <w:tcW w:type="dxa" w:w="5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إقرار التقييم المستهدف قبل الجولة (Pre-money) وسقف التخفيف.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2E8B3D"/>
                <w:sz w:val="20"/>
                <w:szCs w:val="20"/>
              </w:rPr>
              <w:t xml:space="preserve">٣.٢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</w:tr>
      <w:tr>
        <w:tc>
          <w:tcPr>
            <w:tcW w:type="dxa" w:w="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١١</w:t>
            </w:r>
          </w:p>
        </w:tc>
        <w:tc>
          <w:tcPr>
            <w:tcW w:type="dxa" w:w="5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إقرار سياسة الاحتياطي الدولاري (٢–٣ أشهر تكاليف توريد).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2E8B3D"/>
                <w:sz w:val="20"/>
                <w:szCs w:val="20"/>
              </w:rPr>
              <w:t xml:space="preserve">٣.٣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</w:tr>
      <w:tr>
        <w:tc>
          <w:tcPr>
            <w:tcW w:type="dxa" w:w="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١٢</w:t>
            </w:r>
          </w:p>
        </w:tc>
        <w:tc>
          <w:tcPr>
            <w:tcW w:type="dxa" w:w="5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تعيين مسؤول شراكات المطورين مع هدف ٢–٣ اتفاقيات في ٢٠٢٦.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2E8B3D"/>
                <w:sz w:val="20"/>
                <w:szCs w:val="20"/>
              </w:rPr>
              <w:t xml:space="preserve">٤.٢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</w:tr>
      <w:tr>
        <w:tc>
          <w:tcPr>
            <w:tcW w:type="dxa" w:w="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١٣</w:t>
            </w:r>
          </w:p>
        </w:tc>
        <w:tc>
          <w:tcPr>
            <w:tcW w:type="dxa" w:w="5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إقرار الفئة الجغرافية ذات الأولوية والأهداف الربعية.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2E8B3D"/>
                <w:sz w:val="20"/>
                <w:szCs w:val="20"/>
              </w:rPr>
              <w:t xml:space="preserve">٤.٤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</w:tr>
      <w:tr>
        <w:tc>
          <w:tcPr>
            <w:tcW w:type="dxa" w:w="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FDEB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١٤</w:t>
            </w:r>
          </w:p>
        </w:tc>
        <w:tc>
          <w:tcPr>
            <w:tcW w:type="dxa" w:w="5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FDEB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إجراء إصلاح أمني فوري لتسريب Discord Bot Token (اليوم).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FDEB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B22222"/>
                <w:sz w:val="20"/>
                <w:szCs w:val="20"/>
              </w:rPr>
              <w:t xml:space="preserve">٥.٣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FDEB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</w:tr>
      <w:tr>
        <w:tc>
          <w:tcPr>
            <w:tcW w:type="dxa" w:w="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١٥</w:t>
            </w:r>
          </w:p>
        </w:tc>
        <w:tc>
          <w:tcPr>
            <w:tcW w:type="dxa" w:w="5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إقرار بوابة جاهزية الإطلاق التقنية (Launch Readiness Gate).</w:t>
            </w:r>
          </w:p>
        </w:tc>
        <w:tc>
          <w:tcPr>
            <w:tcW w:type="dxa" w:w="15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2E8B3D"/>
                <w:sz w:val="20"/>
                <w:szCs w:val="20"/>
              </w:rPr>
              <w:t xml:space="preserve">٥.٤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</w:tr>
    </w:tbl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سجل الإجراءات — المالك، الموعد، المعيار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٧.٢</w:t>
      </w:r>
    </w:p>
    <w:tbl>
      <w:tblPr>
        <w:tblW w:type="dxa" w:w="92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800"/>
        <w:gridCol w:w="1400"/>
        <w:gridCol w:w="1600"/>
      </w:tblGrid>
      <w:tr>
        <w:trPr>
          <w:tblHeader/>
        </w:trPr>
        <w:tc>
          <w:tcPr>
            <w:tcW w:type="dxa" w:w="4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0E2A5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الإجراء</w:t>
            </w:r>
          </w:p>
        </w:tc>
        <w:tc>
          <w:tcPr>
            <w:tcW w:type="dxa" w:w="1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0E2A5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المالك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0E2A5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الموعد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0E2A5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معيار النجاح</w:t>
            </w:r>
          </w:p>
        </w:tc>
      </w:tr>
      <w:tr>
        <w:tc>
          <w:tcPr>
            <w:tcW w:type="dxa" w:w="4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جمع وثائق GMRA والجهات المنظِمة</w:t>
            </w:r>
          </w:p>
        </w:tc>
        <w:tc>
          <w:tcPr>
            <w:tcW w:type="dxa" w:w="1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—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١٤ يوماً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ملف مكتمل</w:t>
            </w:r>
          </w:p>
        </w:tc>
      </w:tr>
      <w:tr>
        <w:tc>
          <w:tcPr>
            <w:tcW w:type="dxa" w:w="4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تعديل كتابي لتناقض إيداع Entry</w:t>
            </w:r>
          </w:p>
        </w:tc>
        <w:tc>
          <w:tcPr>
            <w:tcW w:type="dxa" w:w="1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—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٧ أيام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مستند موقّع</w:t>
            </w:r>
          </w:p>
        </w:tc>
      </w:tr>
      <w:tr>
        <w:tc>
          <w:tcPr>
            <w:tcW w:type="dxa" w:w="4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صياغة مادة التعبئة الدائرية التعاقدية</w:t>
            </w:r>
          </w:p>
        </w:tc>
        <w:tc>
          <w:tcPr>
            <w:tcW w:type="dxa" w:w="1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—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١٠ أيام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مسودة جاهزة</w:t>
            </w:r>
          </w:p>
        </w:tc>
      </w:tr>
      <w:tr>
        <w:tc>
          <w:tcPr>
            <w:tcW w:type="dxa" w:w="4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FDEB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إصلاح تسريب Discord Token</w:t>
            </w:r>
          </w:p>
        </w:tc>
        <w:tc>
          <w:tcPr>
            <w:tcW w:type="dxa" w:w="1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FDEB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—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FDEB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B22222"/>
                <w:sz w:val="20"/>
                <w:szCs w:val="20"/>
              </w:rPr>
              <w:t xml:space="preserve">اليوم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shd w:fill="FDEB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Token جديد</w:t>
            </w:r>
          </w:p>
        </w:tc>
      </w:tr>
      <w:tr>
        <w:tc>
          <w:tcPr>
            <w:tcW w:type="dxa" w:w="4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إعداد مواد جولة البذرة (Deck + نموذج مالي)</w:t>
            </w:r>
          </w:p>
        </w:tc>
        <w:tc>
          <w:tcPr>
            <w:tcW w:type="dxa" w:w="1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—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٢١ يوماً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Board-ready</w:t>
            </w:r>
          </w:p>
        </w:tc>
      </w:tr>
      <w:tr>
        <w:tc>
          <w:tcPr>
            <w:tcW w:type="dxa" w:w="4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مفاوضات Petrogas/Butagasco</w:t>
            </w:r>
          </w:p>
        </w:tc>
        <w:tc>
          <w:tcPr>
            <w:tcW w:type="dxa" w:w="1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—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٣٠ يوماً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مسودة عقد</w:t>
            </w:r>
          </w:p>
        </w:tc>
      </w:tr>
      <w:tr>
        <w:tc>
          <w:tcPr>
            <w:tcW w:type="dxa" w:w="4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إنهاء شروط تسهيل تريجاز الدائري</w:t>
            </w:r>
          </w:p>
        </w:tc>
        <w:tc>
          <w:tcPr>
            <w:tcW w:type="dxa" w:w="1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—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٢١ يوماً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Term Sheet</w:t>
            </w:r>
          </w:p>
        </w:tc>
      </w:tr>
      <w:tr>
        <w:tc>
          <w:tcPr>
            <w:tcW w:type="dxa" w:w="4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right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بوابة جاهزية الإطلاق التقنية</w:t>
            </w:r>
          </w:p>
        </w:tc>
        <w:tc>
          <w:tcPr>
            <w:tcW w:type="dxa" w:w="18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—</w:t>
            </w:r>
          </w:p>
        </w:tc>
        <w:tc>
          <w:tcPr>
            <w:tcW w:type="dxa" w:w="14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٤٥ يوماً</w:t>
            </w:r>
          </w:p>
        </w:tc>
        <w:tc>
          <w:tcPr>
            <w:tcW w:type="dxa" w:w="1600"/>
            <w:tcBorders>
              <w:top w:val="single" w:color="D4DCE5" w:sz="4"/>
              <w:left w:val="single" w:color="D4DCE5" w:sz="4"/>
              <w:bottom w:val="single" w:color="D4DCE5" w:sz="4"/>
              <w:right w:val="single" w:color="D4DCE5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bidi/>
              <w:spacing w:after="40" w:before="40" w:line="280"/>
              <w:jc w:val="center"/>
            </w:pPr>
            <w:r>
              <w:rPr>
                <w:rFonts w:ascii="Cairo" w:cs="Cairo" w:eastAsia="Cairo" w:hAnsi="Cairo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Checklist موقّع</w:t>
            </w:r>
          </w:p>
        </w:tc>
      </w:tr>
    </w:tbl>
    <w:p>
      <w:pPr>
        <w:pBdr>
          <w:right w:val="single" w:color="2E8B3D" w:sz="24" w:space="6"/>
        </w:pBdr>
        <w:bidi/>
        <w:spacing w:after="80" w:before="200" w:line="320"/>
        <w:ind w:right="100"/>
        <w:jc w:val="right"/>
      </w:pPr>
      <w:r>
        <w:rPr>
          <w:rFonts w:ascii="Cairo" w:cs="Cairo" w:eastAsia="Cairo" w:hAnsi="Cairo"/>
          <w:b/>
          <w:bCs/>
          <w:i w:val="false"/>
          <w:iCs w:val="false"/>
          <w:color w:val="0E2A52"/>
          <w:sz w:val="24"/>
          <w:szCs w:val="24"/>
        </w:rPr>
        <w:t xml:space="preserve">الختام</w:t>
      </w:r>
      <w:r>
        <w:rPr>
          <w:rFonts w:ascii="Cairo" w:cs="Cairo" w:eastAsia="Cairo" w:hAnsi="Cairo"/>
          <w:b/>
          <w:bCs/>
          <w:i w:val="false"/>
          <w:iCs w:val="false"/>
          <w:color w:val="2E8B3D"/>
          <w:sz w:val="22"/>
          <w:szCs w:val="22"/>
        </w:rPr>
        <w:t xml:space="preserve">   ٧.٣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تحديد موعد الاجتماع التالي (الأسبوع المقبل أو الأسبوعين).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توزيع المحضر وسجل القرارات خلال ٢٤ ساعة من انتهاء الجلسة.</w:t>
      </w:r>
    </w:p>
    <w:p>
      <w:pPr>
        <w:pStyle w:val="ListParagraph"/>
        <w:numPr>
          <w:ilvl w:val="0"/>
          <w:numId w:val="2"/>
        </w:numPr>
        <w:bidi/>
        <w:spacing w:after="40" w:before="40" w:line="320"/>
        <w:jc w:val="right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000000"/>
          <w:sz w:val="21"/>
          <w:szCs w:val="21"/>
        </w:rPr>
        <w:t xml:space="preserve">تحديث سجل القرارات في Notion (مصدر الحقيقة).</w:t>
      </w:r>
    </w:p>
    <w:p>
      <w:pPr>
        <w:spacing w:after="200" w:before="200"/>
      </w:pPr>
      <w:r>
        <w:t xml:space="preserve"/>
      </w:r>
    </w:p>
    <w:p>
      <w:pPr>
        <w:pBdr>
          <w:top w:val="double" w:color="2E8B3D" w:sz="6" w:space="6"/>
        </w:pBdr>
        <w:bidi/>
        <w:spacing w:after="100" w:before="400"/>
        <w:jc w:val="center"/>
      </w:pPr>
      <w:r>
        <w:rPr>
          <w:rFonts w:ascii="Cairo" w:cs="Cairo" w:eastAsia="Cairo" w:hAnsi="Cairo"/>
          <w:b/>
          <w:bCs/>
          <w:i/>
          <w:iCs/>
          <w:color w:val="6B7280"/>
          <w:sz w:val="22"/>
          <w:szCs w:val="22"/>
        </w:rPr>
        <w:t xml:space="preserve">— نهاية جدول الأعمال —</w:t>
      </w:r>
    </w:p>
    <w:p>
      <w:pPr>
        <w:bidi/>
        <w:spacing w:after="40" w:before="100"/>
        <w:jc w:val="center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6B7280"/>
          <w:sz w:val="18"/>
          <w:szCs w:val="18"/>
        </w:rPr>
        <w:t xml:space="preserve">EzyGas  |  Safe. Clean. Smart.</w:t>
      </w:r>
    </w:p>
    <w:p>
      <w:pPr>
        <w:bidi/>
        <w:jc w:val="center"/>
      </w:pPr>
      <w:r>
        <w:rPr>
          <w:rFonts w:ascii="Cairo" w:cs="Cairo" w:eastAsia="Cairo" w:hAnsi="Cairo"/>
          <w:b w:val="false"/>
          <w:bCs w:val="false"/>
          <w:i w:val="false"/>
          <w:iCs w:val="false"/>
          <w:color w:val="2E8B3D"/>
          <w:sz w:val="18"/>
          <w:szCs w:val="18"/>
        </w:rPr>
        <w:t xml:space="preserve">www.ezy-gas.com</w:t>
      </w:r>
    </w:p>
    <w:sectPr>
      <w:headerReference w:type="default" r:id="rId7"/>
      <w:footerReference w:type="default" r:id="rId8"/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4DCE5" w:sz="4" w:space="4"/>
      </w:pBdr>
      <w:bidi/>
      <w:jc w:val="center"/>
    </w:pPr>
    <w:r>
      <w:rPr>
        <w:rFonts w:ascii="Cairo" w:cs="Cairo" w:eastAsia="Cairo" w:hAnsi="Cairo"/>
        <w:b w:val="false"/>
        <w:bCs w:val="false"/>
        <w:i w:val="false"/>
        <w:iCs w:val="false"/>
        <w:color w:val="6B7280"/>
        <w:sz w:val="16"/>
        <w:szCs w:val="16"/>
      </w:rPr>
      <w:t xml:space="preserve">EzyGas  |  </w:t>
    </w:r>
    <w:r>
      <w:rPr>
        <w:rFonts w:ascii="Calibri" w:cs="Calibri" w:eastAsia="Calibri" w:hAnsi="Calibri"/>
        <w:color w:val="6B7280"/>
        <w:sz w:val="16"/>
        <w:szCs w:val="16"/>
      </w:rPr>
      <w:t xml:space="preserve">Page </w:t>
    </w:r>
    <w:r>
      <w:rPr>
        <w:rFonts w:ascii="Calibri" w:cs="Calibri" w:eastAsia="Calibri" w:hAnsi="Calibri"/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280"/>
        <w:sz w:val="16"/>
        <w:szCs w:val="16"/>
      </w:rPr>
      <w:t xml:space="preserve"> / </w:t>
    </w:r>
    <w:r>
      <w:rPr>
        <w:rFonts w:ascii="Calibri" w:cs="Calibri" w:eastAsia="Calibri" w:hAnsi="Calibri"/>
        <w:color w:val="6B72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rFonts w:ascii="Cairo" w:cs="Cairo" w:eastAsia="Cairo" w:hAnsi="Cairo"/>
        <w:b w:val="false"/>
        <w:bCs w:val="false"/>
        <w:i w:val="false"/>
        <w:iCs w:val="false"/>
        <w:color w:val="2E8B3D"/>
        <w:sz w:val="16"/>
        <w:szCs w:val="16"/>
      </w:rPr>
      <w:t xml:space="preserve">  |  www.ezy-gas.com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8B3D" w:sz="4" w:space="4"/>
      </w:pBdr>
      <w:bidi/>
      <w:jc w:val="right"/>
    </w:pPr>
    <w:r>
      <w:rPr>
        <w:rFonts w:ascii="Cairo" w:cs="Cairo" w:eastAsia="Cairo" w:hAnsi="Cairo"/>
        <w:b w:val="false"/>
        <w:bCs w:val="false"/>
        <w:i/>
        <w:iCs/>
        <w:color w:val="6B7280"/>
        <w:sz w:val="16"/>
        <w:szCs w:val="16"/>
      </w:rPr>
      <w:t xml:space="preserve">جدول أعمال — جلسة عمل تنفيذية  |  سري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◆"/>
      <w:lvlJc w:val="right"/>
      <w:pPr>
        <w:bidi/>
        <w:ind w:right="420" w:hanging="240"/>
      </w:pPr>
      <w:rPr>
        <w:rFonts w:ascii="Cairo" w:cs="Cairo" w:eastAsia="Cairo" w:hAnsi="Cairo"/>
        <w:color w:val="2E8B3D"/>
        <w:sz w:val="22"/>
        <w:szCs w:val="22"/>
      </w:rPr>
    </w:lvl>
    <w:lvl w:ilvl="1" w15:tentative="1">
      <w:start w:val="1"/>
      <w:numFmt w:val="bullet"/>
      <w:lvlText w:val="−"/>
      <w:lvlJc w:val="right"/>
      <w:pPr>
        <w:bidi/>
        <w:ind w:right="800" w:hanging="240"/>
      </w:pPr>
      <w:rPr>
        <w:rFonts w:ascii="Cairo" w:cs="Cairo" w:eastAsia="Cairo" w:hAnsi="Cairo"/>
        <w:color w:val="6B7280"/>
        <w:sz w:val="21"/>
        <w:szCs w:val="21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iro" w:cs="Cairo" w:eastAsia="Cairo" w:hAnsi="Cairo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34cfba0d077d952225819b6027806267f19970e8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جدول أعمال — جلسة عمل تنفيذية</dc:title>
  <dc:creator>EzyGas Command Center</dc:creator>
  <dc:description>مراجعة الملفات الاستراتيجية العالقة — EzyGas × Treegas</dc:description>
  <cp:lastModifiedBy>Un-named</cp:lastModifiedBy>
  <cp:revision>1</cp:revision>
  <dcterms:created xsi:type="dcterms:W3CDTF">2026-04-17T18:56:08.354Z</dcterms:created>
  <dcterms:modified xsi:type="dcterms:W3CDTF">2026-04-17T18:56:08.356Z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