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400"/>
        <w:jc w:val="center"/>
      </w:pPr>
      <w:r>
        <w:drawing>
          <wp:inline distT="0" distB="0" distL="0" distR="0">
            <wp:extent cx="2476500" cy="1524000"/>
            <wp:effectExtent t="0" r="0" b="0" l="0"/>
            <wp:docPr id="1" name="EzyGasLogo" descr="EzyGas Logo" title="Ezy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1524000"/>
                    </a:xfrm>
                    <a:prstGeom prst="rect">
                      <a:avLst/>
                    </a:prstGeom>
                  </pic:spPr>
                </pic:pic>
              </a:graphicData>
            </a:graphic>
          </wp:inline>
        </w:drawing>
      </w:r>
    </w:p>
    <w:p>
      <w:pPr>
        <w:bidi/>
        <w:spacing w:after="120" w:before="400"/>
        <w:jc w:val="center"/>
      </w:pPr>
      <w:r>
        <w:rPr>
          <w:rFonts w:ascii="Cairo" w:cs="Cairo" w:eastAsia="Cairo" w:hAnsi="Cairo"/>
          <w:b/>
          <w:bCs/>
          <w:color w:val="0F2A47"/>
          <w:sz w:val="56"/>
          <w:szCs w:val="56"/>
          <w:rtl/>
        </w:rPr>
        <w:t xml:space="preserve">عقد التوزيع المعتمد</w:t>
      </w:r>
    </w:p>
    <w:p>
      <w:pPr>
        <w:spacing w:after="300" w:before="60"/>
        <w:jc w:val="center"/>
      </w:pPr>
      <w:r>
        <w:rPr>
          <w:rFonts w:ascii="Cairo" w:cs="Cairo" w:eastAsia="Cairo" w:hAnsi="Cairo"/>
          <w:b/>
          <w:bCs/>
          <w:color w:val="1E7A3C"/>
          <w:sz w:val="36"/>
          <w:szCs w:val="36"/>
        </w:rPr>
        <w:t xml:space="preserve">Authorized Distribution Agreement</w:t>
      </w:r>
    </w:p>
    <w:p>
      <w:pPr>
        <w:pBdr>
          <w:bottom w:val="single" w:color="1E7A3C" w:sz="12" w:space="1"/>
        </w:pBdr>
        <w:spacing w:after="120" w:before="120"/>
        <w:jc w:val="center"/>
      </w:pPr>
      <w:r>
        <w:rPr>
          <w:rFonts w:ascii="Cairo" w:cs="Cairo" w:eastAsia="Cairo" w:hAnsi="Cairo"/>
        </w:rPr>
        <w:t xml:space="preserve"/>
      </w:r>
    </w:p>
    <w:p>
      <w:pPr>
        <w:bidi/>
        <w:spacing w:after="100" w:before="400"/>
        <w:jc w:val="center"/>
      </w:pPr>
      <w:r>
        <w:rPr>
          <w:rFonts w:ascii="Cairo" w:cs="Cairo" w:eastAsia="Cairo" w:hAnsi="Cairo"/>
          <w:color w:val="333333"/>
          <w:sz w:val="28"/>
          <w:szCs w:val="28"/>
          <w:rtl/>
        </w:rPr>
        <w:t xml:space="preserve">بين شركة إيزي جاز للتجارة والتوزيع والموزع المعتمد</w:t>
      </w:r>
    </w:p>
    <w:p>
      <w:pPr>
        <w:spacing w:after="600" w:before="60"/>
        <w:jc w:val="center"/>
      </w:pPr>
      <w:r>
        <w:rPr>
          <w:rFonts w:ascii="Cairo" w:cs="Cairo" w:eastAsia="Cairo" w:hAnsi="Cairo"/>
          <w:i/>
          <w:iCs/>
          <w:color w:val="555555"/>
          <w:sz w:val="22"/>
          <w:szCs w:val="22"/>
        </w:rPr>
        <w:t xml:space="preserve">Between EzyGas Trade &amp; Distribution Co. and the Authorized Distributor</w:t>
      </w:r>
    </w:p>
    <w:p>
      <w:pPr>
        <w:spacing w:after="200" w:before="200"/>
        <w:jc w:val="center"/>
      </w:pPr>
      <w:tbl>
        <w:tblPr>
          <w:tblW w:type="dxa" w:w="7000"/>
          <w:jc w:val="center"/>
          <w:tblBorders>
            <w:top w:val="single" w:color="auto" w:sz="4"/>
            <w:left w:val="single" w:color="auto" w:sz="4"/>
            <w:bottom w:val="single" w:color="auto" w:sz="4"/>
            <w:right w:val="single" w:color="auto" w:sz="4"/>
            <w:insideH w:val="single" w:color="auto" w:sz="4"/>
            <w:insideV w:val="single" w:color="auto" w:sz="4"/>
          </w:tblBorders>
        </w:tblPr>
        <w:tblGrid>
          <w:gridCol w:w="3500"/>
          <w:gridCol w:w="3500"/>
        </w:tblGrid>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إصدار الصيغة المقترحة</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v1.0  —  أبريل 2026</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القانون الحاكم</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جمهورية مصر العربية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جهة فض النزاعات</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CRCICA — مركز القاهرة الإقليمي</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التصنيف</w:t>
              </w:r>
            </w:p>
          </w:tc>
          <w:tc>
            <w:tcPr>
              <w:tcW w:type="dxa" w:w="3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سري — للاستخدام التعاقدي فقط</w:t>
              </w:r>
            </w:p>
          </w:tc>
        </w:tr>
      </w:tbl>
    </w:p>
    <w:p>
      <w:pPr>
        <w:bidi/>
        <w:spacing w:after="0" w:before="1200"/>
        <w:jc w:val="center"/>
      </w:pPr>
      <w:r>
        <w:rPr>
          <w:rFonts w:ascii="Cairo" w:cs="Cairo" w:eastAsia="Cairo" w:hAnsi="Cairo"/>
          <w:b/>
          <w:bCs/>
          <w:color w:val="1E7A3C"/>
          <w:sz w:val="22"/>
          <w:szCs w:val="22"/>
        </w:rPr>
        <w:t xml:space="preserve">www.ezy-gas.com</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فهرس العقد</w:t>
      </w:r>
    </w:p>
    <w:p>
      <w:pPr>
        <w:bidi/>
        <w:spacing w:after="80" w:before="80" w:line="320"/>
        <w:jc w:val="both"/>
      </w:pPr>
      <w:r>
        <w:rPr>
          <w:rFonts w:ascii="Cairo" w:cs="Cairo" w:eastAsia="Cairo" w:hAnsi="Cairo"/>
          <w:b w:val="false"/>
          <w:bCs w:val="false"/>
          <w:color w:val="0F2A47"/>
          <w:sz w:val="22"/>
          <w:szCs w:val="22"/>
          <w:rtl/>
        </w:rPr>
        <w:t xml:space="preserve">يشتمل هذا العقد على (28) مادةً و(7) ملاحق تُعدّ جزءًا لا يتجزَّأ من العقد وتقرأ وتُفسَّر بوصفها وحدةً واحدة.</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المواد</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8000"/>
      </w:tblGrid>
      <w:tr>
        <w:trPr>
          <w:tblHeader/>
        </w:trPr>
        <w:tc>
          <w:tcPr>
            <w:tcW w:type="dxa" w:w="1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المادة</w:t>
            </w:r>
          </w:p>
        </w:tc>
        <w:tc>
          <w:tcPr>
            <w:tcW w:type="dxa" w:w="8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العنوان</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التمهيد</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الأطراف وديباجة العقد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الأولى</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التعريفات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الثانية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موضوع العقد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التعيين والفئة التوزيعية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الرابعة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النطاق الجغرافي والأولوية المشروطة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الخامسة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مدة العقد والتجديد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السادسة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الضمان بوصفه رهنًا تجاريًّا مسجَّلًا</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السابعة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التسعير والتوريد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الثامنة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خصومات التوريد والحوافز</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التاسعة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رسوم التوصيل والمعالجة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العاشرة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الالتزام بالأسعار العامة — الموقع مصدرًا أوحد</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الحادية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الحد الأدنى الشهري للأداء</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الثانية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التزامات الموزع</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التزامات إيزي جاز</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الرابعة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حوكمة الأصول ودورة حياة الأسطوانة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الخامسة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ضوابط التعبئة والخط الائتماني الدوار</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السادسة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المنصة والبيانات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السابعة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السرية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الثامنة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الملكية الفكرية والعلامة التجارية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التاسعة عشرة</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التأمين</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التدرُّج التأديبي ثلاثي المستويات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الحادية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مصفوفة الجزاءات — الأحكام العامة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الثانية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القوة القاهرة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الإنهاء</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الرابعة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التسوية بعد الإنهاء</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الخامسة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المنافسة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السادسة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الإخطارات</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السابعة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القانون الحاكم والتحكيم — CRCICA</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الثامنة والعشرون</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أحكام عامة</w:t>
            </w:r>
          </w:p>
        </w:tc>
      </w:tr>
    </w:tbl>
    <w:p>
      <w:pPr>
        <w:bidi/>
        <w:spacing w:after="160" w:before="16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الملاحق</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0"/>
        <w:gridCol w:w="8000"/>
      </w:tblGrid>
      <w:tr>
        <w:trPr>
          <w:tblHeader/>
        </w:trPr>
        <w:tc>
          <w:tcPr>
            <w:tcW w:type="dxa" w:w="1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الملحق</w:t>
            </w:r>
          </w:p>
        </w:tc>
        <w:tc>
          <w:tcPr>
            <w:tcW w:type="dxa" w:w="8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الموضوع</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أ</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هيكل فئات التوزيع المعتمدة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ب</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جدول الأسعار الرسمية — توريد وإعادة تعبئة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ج</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رسوم التوصيل والمعالجة</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د</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الحدود الشهرية الدنيا لأداء الموزع</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هـ</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مصفوفة الجزاءات والتعويضات المتفَق عليها</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و</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معايير السلامة والتخزين والنقل</w:t>
            </w:r>
          </w:p>
        </w:tc>
      </w:tr>
      <w:tr>
        <w:tc>
          <w:tcPr>
            <w:tcW w:type="dxa" w:w="1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ز</w:t>
            </w:r>
          </w:p>
        </w:tc>
        <w:tc>
          <w:tcPr>
            <w:tcW w:type="dxa" w:w="8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نموذج التقرير الشهري للموزع</w:t>
            </w:r>
          </w:p>
        </w:tc>
      </w:tr>
    </w:tbl>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ديباجة العقد</w:t>
      </w:r>
    </w:p>
    <w:p>
      <w:pPr>
        <w:bidi/>
        <w:spacing w:after="80" w:before="80" w:line="320"/>
        <w:jc w:val="both"/>
      </w:pPr>
      <w:r>
        <w:rPr>
          <w:rFonts w:ascii="Cairo" w:cs="Cairo" w:eastAsia="Cairo" w:hAnsi="Cairo"/>
          <w:b w:val="false"/>
          <w:bCs w:val="false"/>
          <w:color w:val="000000"/>
          <w:sz w:val="22"/>
          <w:szCs w:val="22"/>
          <w:rtl/>
        </w:rPr>
        <w:t xml:space="preserve">أُبرِم هذا العقد في يوم ......... الموافق ......... من شهر ......... لسنة 2026 بمدينة ......... جمهورية مصر العربية، بين كلٍّ من:</w:t>
      </w:r>
    </w:p>
    <w:p>
      <w:pPr>
        <w:bidi/>
        <w:spacing w:after="80" w:before="80"/>
      </w:pPr>
      <w:r>
        <w:rPr>
          <w:rFonts w:ascii="Cairo" w:cs="Cairo" w:eastAsia="Cairo" w:hAnsi="Cairo"/>
        </w:rPr>
        <w:t xml:space="preserve"/>
      </w:r>
    </w:p>
    <w:p>
      <w:pPr>
        <w:pStyle w:val="Heading3"/>
        <w:bidi/>
        <w:spacing w:after="100" w:before="200"/>
        <w:jc w:val="right"/>
      </w:pPr>
      <w:r>
        <w:rPr>
          <w:rFonts w:ascii="Cairo" w:cs="Cairo" w:eastAsia="Cairo" w:hAnsi="Cairo"/>
          <w:b/>
          <w:bCs/>
          <w:color w:val="0F2A47"/>
          <w:sz w:val="24"/>
          <w:szCs w:val="24"/>
          <w:rtl/>
        </w:rPr>
        <w:t xml:space="preserve">الطرف الأول:</w:t>
      </w:r>
    </w:p>
    <w:p>
      <w:pPr>
        <w:bidi/>
        <w:spacing w:after="80" w:before="80" w:line="320"/>
        <w:jc w:val="both"/>
      </w:pPr>
      <w:r>
        <w:rPr>
          <w:rFonts w:ascii="Cairo" w:cs="Cairo" w:eastAsia="Cairo" w:hAnsi="Cairo"/>
          <w:b w:val="false"/>
          <w:bCs w:val="false"/>
          <w:color w:val="000000"/>
          <w:sz w:val="22"/>
          <w:szCs w:val="22"/>
          <w:rtl/>
        </w:rPr>
        <w:t xml:space="preserve">شركة إيزي جاز للتجارة والتوزيع (EzyGas) — شركة مسجَّلة وفقًا لقوانين جمهورية مصر العربية، ومقرها الرئيسي: ......... ، رقم السجل التجاري: ......... ، البطاقة الضريبية: ......... ، ممثَّلة في توقيع هذا العقد بالسيد/ ......... بصفته ......... ، ويُشار إليها فيما بعد بـ «الشركة» أو «إيزي جاز».</w:t>
      </w:r>
    </w:p>
    <w:p>
      <w:pPr>
        <w:bidi/>
        <w:spacing w:after="80" w:before="80"/>
      </w:pPr>
      <w:r>
        <w:rPr>
          <w:rFonts w:ascii="Cairo" w:cs="Cairo" w:eastAsia="Cairo" w:hAnsi="Cairo"/>
        </w:rPr>
        <w:t xml:space="preserve"/>
      </w:r>
    </w:p>
    <w:p>
      <w:pPr>
        <w:pStyle w:val="Heading3"/>
        <w:bidi/>
        <w:spacing w:after="100" w:before="200"/>
        <w:jc w:val="right"/>
      </w:pPr>
      <w:r>
        <w:rPr>
          <w:rFonts w:ascii="Cairo" w:cs="Cairo" w:eastAsia="Cairo" w:hAnsi="Cairo"/>
          <w:b/>
          <w:bCs/>
          <w:color w:val="0F2A47"/>
          <w:sz w:val="24"/>
          <w:szCs w:val="24"/>
          <w:rtl/>
        </w:rPr>
        <w:t xml:space="preserve">الطرف الثاني:</w:t>
      </w:r>
    </w:p>
    <w:p>
      <w:pPr>
        <w:bidi/>
        <w:spacing w:after="80" w:before="80" w:line="320"/>
        <w:jc w:val="both"/>
      </w:pPr>
      <w:r>
        <w:rPr>
          <w:rFonts w:ascii="Cairo" w:cs="Cairo" w:eastAsia="Cairo" w:hAnsi="Cairo"/>
          <w:b w:val="false"/>
          <w:bCs w:val="false"/>
          <w:color w:val="000000"/>
          <w:sz w:val="22"/>
          <w:szCs w:val="22"/>
          <w:rtl/>
        </w:rPr>
        <w:t xml:space="preserve">السادة/ ......... — شركة/مؤسسة مسجَّلة وفقًا لقوانين جمهورية مصر العربية، ومقرها: ......... ، رقم السجل التجاري: ......... ، البطاقة الضريبية: ......... ، ممثَّلًا في توقيع هذا العقد بالسيد/ ......... بصفته ......... ، ويُشار إليه فيما بعد بـ «الموزع المعتمد» أو «الموزع».</w:t>
      </w:r>
    </w:p>
    <w:p>
      <w:pPr>
        <w:bidi/>
        <w:spacing w:after="100" w:before="100"/>
      </w:pPr>
      <w:r>
        <w:rPr>
          <w:rFonts w:ascii="Cairo" w:cs="Cairo" w:eastAsia="Cairo" w:hAnsi="Cairo"/>
        </w:rPr>
        <w:t xml:space="preserve"/>
      </w:r>
    </w:p>
    <w:p>
      <w:pPr>
        <w:bidi/>
        <w:spacing w:after="80" w:before="80" w:line="320"/>
        <w:jc w:val="both"/>
      </w:pPr>
      <w:r>
        <w:rPr>
          <w:rFonts w:ascii="Cairo" w:cs="Cairo" w:eastAsia="Cairo" w:hAnsi="Cairo"/>
          <w:b/>
          <w:bCs/>
          <w:color w:val="000000"/>
          <w:sz w:val="22"/>
          <w:szCs w:val="22"/>
          <w:rtl/>
        </w:rPr>
        <w:t xml:space="preserve">يُشار إلى الطرفين مجتمعَين بـ «الطرفين»، وإلى كلٍّ منهما منفردًا بـ «الطرف».</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تمهيد</w:t>
      </w:r>
    </w:p>
    <w:p>
      <w:pPr>
        <w:pStyle w:val="ListParagraph"/>
        <w:numPr>
          <w:ilvl w:val="0"/>
          <w:numId w:val="2"/>
        </w:numPr>
        <w:bidi/>
        <w:spacing w:after="40" w:before="40" w:line="320"/>
        <w:jc w:val="both"/>
      </w:pPr>
      <w:r>
        <w:rPr>
          <w:rFonts w:ascii="Cairo" w:cs="Cairo" w:eastAsia="Cairo" w:hAnsi="Cairo"/>
          <w:sz w:val="22"/>
          <w:szCs w:val="22"/>
          <w:rtl/>
        </w:rPr>
        <w:t xml:space="preserve">حيث إن إيزي جاز تعمل في مجال التوزيع الرقمي المنظَّم لأسطوانات الغاز البترولي المسال من النوع المركب (Type IV Composite LPG Cylinders) داخل جمهورية مصر العربية، وتدير منصة تشغيلية تشمل التوريد وإعادة التعبئة والتوصيل والتسويات المالية.</w:t>
      </w:r>
    </w:p>
    <w:p>
      <w:pPr>
        <w:pStyle w:val="ListParagraph"/>
        <w:numPr>
          <w:ilvl w:val="0"/>
          <w:numId w:val="2"/>
        </w:numPr>
        <w:bidi/>
        <w:spacing w:after="40" w:before="40" w:line="320"/>
        <w:jc w:val="both"/>
      </w:pPr>
      <w:r>
        <w:rPr>
          <w:rFonts w:ascii="Cairo" w:cs="Cairo" w:eastAsia="Cairo" w:hAnsi="Cairo"/>
          <w:sz w:val="22"/>
          <w:szCs w:val="22"/>
          <w:rtl/>
        </w:rPr>
        <w:t xml:space="preserve">وحيث إن إيزي جاز أطلقت برنامج الموزعين المعتمدين 2026، الذي يُعدّ الإطار المرجعي الحاكم للعلاقة، ووثيقة البرنامج المرفقة بوصفها الملحق (أ) جزء لا يتجزَّأ من هذا العقد.</w:t>
      </w:r>
    </w:p>
    <w:p>
      <w:pPr>
        <w:pStyle w:val="ListParagraph"/>
        <w:numPr>
          <w:ilvl w:val="0"/>
          <w:numId w:val="2"/>
        </w:numPr>
        <w:bidi/>
        <w:spacing w:after="40" w:before="40" w:line="320"/>
        <w:jc w:val="both"/>
      </w:pPr>
      <w:r>
        <w:rPr>
          <w:rFonts w:ascii="Cairo" w:cs="Cairo" w:eastAsia="Cairo" w:hAnsi="Cairo"/>
          <w:sz w:val="22"/>
          <w:szCs w:val="22"/>
          <w:rtl/>
        </w:rPr>
        <w:t xml:space="preserve">وحيث إن الموزع قد اطَّلع على البرنامج وملاحقه، وأقرَّ بفهمه التام لشروط التوريد والتسعير والتسويات والالتزامات التشغيلية، ورغب في الانضمام إلى شبكة موزعي إيزي جاز المعتمدين.</w:t>
      </w:r>
    </w:p>
    <w:p>
      <w:pPr>
        <w:pStyle w:val="ListParagraph"/>
        <w:numPr>
          <w:ilvl w:val="0"/>
          <w:numId w:val="2"/>
        </w:numPr>
        <w:bidi/>
        <w:spacing w:after="40" w:before="40" w:line="320"/>
        <w:jc w:val="both"/>
      </w:pPr>
      <w:r>
        <w:rPr>
          <w:rFonts w:ascii="Cairo" w:cs="Cairo" w:eastAsia="Cairo" w:hAnsi="Cairo"/>
          <w:sz w:val="22"/>
          <w:szCs w:val="22"/>
          <w:rtl/>
        </w:rPr>
        <w:t xml:space="preserve">وحيث إن كلا الطرفين يمتلك الأهلية القانونية الكاملة لإبرام هذا العقد.</w:t>
      </w:r>
    </w:p>
    <w:p>
      <w:pPr>
        <w:pStyle w:val="ListParagraph"/>
        <w:numPr>
          <w:ilvl w:val="0"/>
          <w:numId w:val="2"/>
        </w:numPr>
        <w:bidi/>
        <w:spacing w:after="40" w:before="40" w:line="320"/>
        <w:jc w:val="both"/>
      </w:pPr>
      <w:r>
        <w:rPr>
          <w:rFonts w:ascii="Cairo" w:cs="Cairo" w:eastAsia="Cairo" w:hAnsi="Cairo"/>
          <w:sz w:val="22"/>
          <w:szCs w:val="22"/>
          <w:rtl/>
        </w:rPr>
        <w:t xml:space="preserve">وحيث إن الطرفين قد توصَّلا — بحسن نية — إلى اتفاقٍ متبادلٍ على الشروط والأحكام الواردة بهذا العقد.</w:t>
      </w:r>
    </w:p>
    <w:p>
      <w:pPr>
        <w:bidi/>
        <w:spacing w:after="120" w:before="120"/>
      </w:pPr>
      <w:r>
        <w:rPr>
          <w:rFonts w:ascii="Cairo" w:cs="Cairo" w:eastAsia="Cairo" w:hAnsi="Cairo"/>
        </w:rPr>
        <w:t xml:space="preserve"/>
      </w:r>
    </w:p>
    <w:p>
      <w:pPr>
        <w:bidi/>
        <w:spacing w:after="80" w:before="80" w:line="320"/>
        <w:jc w:val="center"/>
      </w:pPr>
      <w:r>
        <w:rPr>
          <w:rFonts w:ascii="Cairo" w:cs="Cairo" w:eastAsia="Cairo" w:hAnsi="Cairo"/>
          <w:b/>
          <w:bCs/>
          <w:color w:val="000000"/>
          <w:sz w:val="22"/>
          <w:szCs w:val="22"/>
          <w:rtl/>
        </w:rPr>
        <w:t xml:space="preserve">لذلك فقد اتَّفق الطرفان على ما يلي، بعد أن اعتبرا ما تقدَّم بمثابة تمهيدٍ وجزءٍ لا يتجزَّأ من هذا العقد:</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الأولى — التعريفات والمصطلحات</w:t>
      </w:r>
    </w:p>
    <w:p>
      <w:pPr>
        <w:bidi/>
        <w:spacing w:after="80" w:before="80" w:line="320"/>
        <w:jc w:val="both"/>
      </w:pPr>
      <w:r>
        <w:rPr>
          <w:rFonts w:ascii="Cairo" w:cs="Cairo" w:eastAsia="Cairo" w:hAnsi="Cairo"/>
          <w:b w:val="false"/>
          <w:bCs w:val="false"/>
          <w:color w:val="000000"/>
          <w:sz w:val="22"/>
          <w:szCs w:val="22"/>
          <w:rtl/>
        </w:rPr>
        <w:t xml:space="preserve">يُقصد بالمصطلحات والعبارات التالية — أينما وردت في هذا العقد وملاحقه — المعاني الموضَّحة قرين كلٍّ منها، ما لم يقتضِ سياق النص خلاف ذلك:</w:t>
      </w:r>
    </w:p>
    <w:p>
      <w:pPr>
        <w:bidi/>
        <w:spacing w:after="60" w:before="60"/>
      </w:pPr>
      <w:r>
        <w:rPr>
          <w:rFonts w:ascii="Cairo" w:cs="Cairo" w:eastAsia="Cairo" w:hAnsi="Cairo"/>
        </w:rPr>
        <w:t xml:space="preserve"/>
      </w:r>
    </w:p>
    <w:p>
      <w:pPr>
        <w:pStyle w:val="ListParagraph"/>
        <w:numPr>
          <w:ilvl w:val="0"/>
          <w:numId w:val="2"/>
        </w:numPr>
        <w:bidi/>
        <w:spacing w:after="40" w:before="40" w:line="320"/>
        <w:jc w:val="both"/>
      </w:pPr>
      <w:r>
        <w:rPr>
          <w:rFonts w:ascii="Cairo" w:cs="Cairo" w:eastAsia="Cairo" w:hAnsi="Cairo"/>
          <w:sz w:val="22"/>
          <w:szCs w:val="22"/>
          <w:rtl/>
        </w:rPr>
        <w:t xml:space="preserve">«العقد»: هذا العقد بما يشمله من مواد وملاحق وتعديلات مكتوبة يوقِّع عليها الطرفان لاحقًا.</w:t>
      </w:r>
    </w:p>
    <w:p>
      <w:pPr>
        <w:pStyle w:val="ListParagraph"/>
        <w:numPr>
          <w:ilvl w:val="0"/>
          <w:numId w:val="2"/>
        </w:numPr>
        <w:bidi/>
        <w:spacing w:after="40" w:before="40" w:line="320"/>
        <w:jc w:val="both"/>
      </w:pPr>
      <w:r>
        <w:rPr>
          <w:rFonts w:ascii="Cairo" w:cs="Cairo" w:eastAsia="Cairo" w:hAnsi="Cairo"/>
          <w:sz w:val="22"/>
          <w:szCs w:val="22"/>
          <w:rtl/>
        </w:rPr>
        <w:t xml:space="preserve">«البرنامج»: برنامج الموزعين المعتمدين 2026 الصادر عن إيزي جاز، المرفق بوصفه الملحق (أ) من هذا العقد.</w:t>
      </w:r>
    </w:p>
    <w:p>
      <w:pPr>
        <w:pStyle w:val="ListParagraph"/>
        <w:numPr>
          <w:ilvl w:val="0"/>
          <w:numId w:val="2"/>
        </w:numPr>
        <w:bidi/>
        <w:spacing w:after="40" w:before="40" w:line="320"/>
        <w:jc w:val="both"/>
      </w:pPr>
      <w:r>
        <w:rPr>
          <w:rFonts w:ascii="Cairo" w:cs="Cairo" w:eastAsia="Cairo" w:hAnsi="Cairo"/>
          <w:sz w:val="22"/>
          <w:szCs w:val="22"/>
          <w:rtl/>
        </w:rPr>
        <w:t xml:space="preserve">«الأسطوانة»: أسطوانة الغاز البترولي المسال المركبة (Type IV Composite LPG Cylinder) الموردة لإيزي جاز، وتُعدّ أصلًا مملوكًا للشركة يُتداول عبر الشبكة وفق نظامٍ رقميٍّ محكم.</w:t>
      </w:r>
    </w:p>
    <w:p>
      <w:pPr>
        <w:pStyle w:val="ListParagraph"/>
        <w:numPr>
          <w:ilvl w:val="0"/>
          <w:numId w:val="2"/>
        </w:numPr>
        <w:bidi/>
        <w:spacing w:after="40" w:before="40" w:line="320"/>
        <w:jc w:val="both"/>
      </w:pPr>
      <w:r>
        <w:rPr>
          <w:rFonts w:ascii="Cairo" w:cs="Cairo" w:eastAsia="Cairo" w:hAnsi="Cairo"/>
          <w:sz w:val="22"/>
          <w:szCs w:val="22"/>
          <w:rtl/>
        </w:rPr>
        <w:t xml:space="preserve">«المنتج Home»: أسطوانة EzyGas Home بسعر التوريد المعتمد الوارد بالملحق (ب).</w:t>
      </w:r>
    </w:p>
    <w:p>
      <w:pPr>
        <w:pStyle w:val="ListParagraph"/>
        <w:numPr>
          <w:ilvl w:val="0"/>
          <w:numId w:val="2"/>
        </w:numPr>
        <w:bidi/>
        <w:spacing w:after="40" w:before="40" w:line="320"/>
        <w:jc w:val="both"/>
      </w:pPr>
      <w:r>
        <w:rPr>
          <w:rFonts w:ascii="Cairo" w:cs="Cairo" w:eastAsia="Cairo" w:hAnsi="Cairo"/>
          <w:sz w:val="22"/>
          <w:szCs w:val="22"/>
          <w:rtl/>
        </w:rPr>
        <w:t xml:space="preserve">«المنتج Premium»: أسطوانة EzyGas Premium بسعر التوريد المعتمد الوارد بالملحق (ب).</w:t>
      </w:r>
    </w:p>
    <w:p>
      <w:pPr>
        <w:pStyle w:val="ListParagraph"/>
        <w:numPr>
          <w:ilvl w:val="0"/>
          <w:numId w:val="2"/>
        </w:numPr>
        <w:bidi/>
        <w:spacing w:after="40" w:before="40" w:line="320"/>
        <w:jc w:val="both"/>
      </w:pPr>
      <w:r>
        <w:rPr>
          <w:rFonts w:ascii="Cairo" w:cs="Cairo" w:eastAsia="Cairo" w:hAnsi="Cairo"/>
          <w:sz w:val="22"/>
          <w:szCs w:val="22"/>
          <w:rtl/>
        </w:rPr>
        <w:t xml:space="preserve">«إعادة التعبئة»: إعادة شحن الأسطوانة بالغاز في منشآت تعبئةٍ معتمدةٍ حصرًا من إيزي جاز، وفق المواصفات الفنية بالملحق (و).</w:t>
      </w:r>
    </w:p>
    <w:p>
      <w:pPr>
        <w:pStyle w:val="ListParagraph"/>
        <w:numPr>
          <w:ilvl w:val="0"/>
          <w:numId w:val="2"/>
        </w:numPr>
        <w:bidi/>
        <w:spacing w:after="40" w:before="40" w:line="320"/>
        <w:jc w:val="both"/>
      </w:pPr>
      <w:r>
        <w:rPr>
          <w:rFonts w:ascii="Cairo" w:cs="Cairo" w:eastAsia="Cairo" w:hAnsi="Cairo"/>
          <w:sz w:val="22"/>
          <w:szCs w:val="22"/>
          <w:rtl/>
        </w:rPr>
        <w:t xml:space="preserve">«فئة الانضمام»: الفئة المختارة من فئات البرنامج (Tier A Elite / Tier B / Tier C / Entry).</w:t>
      </w:r>
    </w:p>
    <w:p>
      <w:pPr>
        <w:pStyle w:val="ListParagraph"/>
        <w:numPr>
          <w:ilvl w:val="0"/>
          <w:numId w:val="2"/>
        </w:numPr>
        <w:bidi/>
        <w:spacing w:after="40" w:before="40" w:line="320"/>
        <w:jc w:val="both"/>
      </w:pPr>
      <w:r>
        <w:rPr>
          <w:rFonts w:ascii="Cairo" w:cs="Cairo" w:eastAsia="Cairo" w:hAnsi="Cairo"/>
          <w:sz w:val="22"/>
          <w:szCs w:val="22"/>
          <w:rtl/>
        </w:rPr>
        <w:t xml:space="preserve">«الدفعة المقدمة»: المبلغ الذي يسدِّده الموزع مقدمًا لإيزي جاز عند الاعتماد، ويُعامَل معاملة الرهن التجاري المسجَّل الضامن لالتزامات الموزع وفقًا للمادة السادسة.</w:t>
      </w:r>
    </w:p>
    <w:p>
      <w:pPr>
        <w:pStyle w:val="ListParagraph"/>
        <w:numPr>
          <w:ilvl w:val="0"/>
          <w:numId w:val="2"/>
        </w:numPr>
        <w:bidi/>
        <w:spacing w:after="40" w:before="40" w:line="320"/>
        <w:jc w:val="both"/>
      </w:pPr>
      <w:r>
        <w:rPr>
          <w:rFonts w:ascii="Cairo" w:cs="Cairo" w:eastAsia="Cairo" w:hAnsi="Cairo"/>
          <w:sz w:val="22"/>
          <w:szCs w:val="22"/>
          <w:rtl/>
        </w:rPr>
        <w:t xml:space="preserve">«السعر الرسمي للجمهور»: قائمة الأسعار الصادرة عن إيزي جاز والمعلنة رسميًّا على الموقع الإلكتروني www.ezy-gas.com، المعتمدة مصدرًا وحيدًا للأسعار الملزمة للجمهور (Single Source of Truth).</w:t>
      </w:r>
    </w:p>
    <w:p>
      <w:pPr>
        <w:pStyle w:val="ListParagraph"/>
        <w:numPr>
          <w:ilvl w:val="0"/>
          <w:numId w:val="2"/>
        </w:numPr>
        <w:bidi/>
        <w:spacing w:after="40" w:before="40" w:line="320"/>
        <w:jc w:val="both"/>
      </w:pPr>
      <w:r>
        <w:rPr>
          <w:rFonts w:ascii="Cairo" w:cs="Cairo" w:eastAsia="Cairo" w:hAnsi="Cairo"/>
          <w:sz w:val="22"/>
          <w:szCs w:val="22"/>
          <w:rtl/>
        </w:rPr>
        <w:t xml:space="preserve">«سعر التوريد»: السعر الذي تُورَّد به الأسطوانة أو خدمة إعادة التعبئة إلى الموزع من إيزي جاز قبل تطبيق الخصومات، وفقًا للملحق (ب).</w:t>
      </w:r>
    </w:p>
    <w:p>
      <w:pPr>
        <w:pStyle w:val="ListParagraph"/>
        <w:numPr>
          <w:ilvl w:val="0"/>
          <w:numId w:val="2"/>
        </w:numPr>
        <w:bidi/>
        <w:spacing w:after="40" w:before="40" w:line="320"/>
        <w:jc w:val="both"/>
      </w:pPr>
      <w:r>
        <w:rPr>
          <w:rFonts w:ascii="Cairo" w:cs="Cairo" w:eastAsia="Cairo" w:hAnsi="Cairo"/>
          <w:sz w:val="22"/>
          <w:szCs w:val="22"/>
          <w:rtl/>
        </w:rPr>
        <w:t xml:space="preserve">«الخصم الأساسي»: الخصم الفوري الذي يُطبَّق على فواتير التوريد وفقًا لفئة الموزع، كما هو موضَّح بالملحق (أ).</w:t>
      </w:r>
    </w:p>
    <w:p>
      <w:pPr>
        <w:pStyle w:val="ListParagraph"/>
        <w:numPr>
          <w:ilvl w:val="0"/>
          <w:numId w:val="2"/>
        </w:numPr>
        <w:bidi/>
        <w:spacing w:after="40" w:before="40" w:line="320"/>
        <w:jc w:val="both"/>
      </w:pPr>
      <w:r>
        <w:rPr>
          <w:rFonts w:ascii="Cairo" w:cs="Cairo" w:eastAsia="Cairo" w:hAnsi="Cairo"/>
          <w:sz w:val="22"/>
          <w:szCs w:val="22"/>
          <w:rtl/>
        </w:rPr>
        <w:t xml:space="preserve">«حافز الأداء»: الخصم الإضافي ربع السنوي الذي يُصرف كمذكرة دائنة (Credit Note) بشرط تحقيق معدَّل دوران لا يقلّ عن 3.5 عمليات إعادة تعبئة لكل أسطوانة ربع سنويًّا.</w:t>
      </w:r>
    </w:p>
    <w:p>
      <w:pPr>
        <w:pStyle w:val="ListParagraph"/>
        <w:numPr>
          <w:ilvl w:val="0"/>
          <w:numId w:val="2"/>
        </w:numPr>
        <w:bidi/>
        <w:spacing w:after="40" w:before="40" w:line="320"/>
        <w:jc w:val="both"/>
      </w:pPr>
      <w:r>
        <w:rPr>
          <w:rFonts w:ascii="Cairo" w:cs="Cairo" w:eastAsia="Cairo" w:hAnsi="Cairo"/>
          <w:sz w:val="22"/>
          <w:szCs w:val="22"/>
          <w:rtl/>
        </w:rPr>
        <w:t xml:space="preserve">«الحد الأدنى للأداء الشهري»: العتبة الشهرية المنصوص عليها بالملحق (د)، ويُعدّ عدم بلوغها لثلاثة أشهر متتالية إخلالًا جوهريًّا.</w:t>
      </w:r>
    </w:p>
    <w:p>
      <w:pPr>
        <w:pStyle w:val="ListParagraph"/>
        <w:numPr>
          <w:ilvl w:val="0"/>
          <w:numId w:val="2"/>
        </w:numPr>
        <w:bidi/>
        <w:spacing w:after="40" w:before="40" w:line="320"/>
        <w:jc w:val="both"/>
      </w:pPr>
      <w:r>
        <w:rPr>
          <w:rFonts w:ascii="Cairo" w:cs="Cairo" w:eastAsia="Cairo" w:hAnsi="Cairo"/>
          <w:sz w:val="22"/>
          <w:szCs w:val="22"/>
          <w:rtl/>
        </w:rPr>
        <w:t xml:space="preserve">«النطاق الجغرافي المعتمد»: المحافظة أو المناطق المحدَّدة كتابيًّا بملحق التخصيص الجغرافي الموقَّع بين الطرفين.</w:t>
      </w:r>
    </w:p>
    <w:p>
      <w:pPr>
        <w:pStyle w:val="ListParagraph"/>
        <w:numPr>
          <w:ilvl w:val="0"/>
          <w:numId w:val="2"/>
        </w:numPr>
        <w:bidi/>
        <w:spacing w:after="40" w:before="40" w:line="320"/>
        <w:jc w:val="both"/>
      </w:pPr>
      <w:r>
        <w:rPr>
          <w:rFonts w:ascii="Cairo" w:cs="Cairo" w:eastAsia="Cairo" w:hAnsi="Cairo"/>
          <w:sz w:val="22"/>
          <w:szCs w:val="22"/>
          <w:rtl/>
        </w:rPr>
        <w:t xml:space="preserve">«المنصة التقنية»: تطبيقات ولوحات التحكم الرقمية الخاصة بإيزي جاز (تطبيق المستهلك، بوابة الموزع، تطبيق السائق، لوحة التحكم).</w:t>
      </w:r>
    </w:p>
    <w:p>
      <w:pPr>
        <w:pStyle w:val="ListParagraph"/>
        <w:numPr>
          <w:ilvl w:val="0"/>
          <w:numId w:val="2"/>
        </w:numPr>
        <w:bidi/>
        <w:spacing w:after="40" w:before="40" w:line="320"/>
        <w:jc w:val="both"/>
      </w:pPr>
      <w:r>
        <w:rPr>
          <w:rFonts w:ascii="Cairo" w:cs="Cairo" w:eastAsia="Cairo" w:hAnsi="Cairo"/>
          <w:sz w:val="22"/>
          <w:szCs w:val="22"/>
          <w:rtl/>
        </w:rPr>
        <w:t xml:space="preserve">«رمز QR للأسطوانة»: الرمز الفريد لكل أسطوانة، يُستخدم للتتبع ودورة الحياة والتثبُّت من هوية الأصل في جميع مراحل التداول.</w:t>
      </w:r>
    </w:p>
    <w:p>
      <w:pPr>
        <w:pStyle w:val="ListParagraph"/>
        <w:numPr>
          <w:ilvl w:val="0"/>
          <w:numId w:val="2"/>
        </w:numPr>
        <w:bidi/>
        <w:spacing w:after="40" w:before="40" w:line="320"/>
        <w:jc w:val="both"/>
      </w:pPr>
      <w:r>
        <w:rPr>
          <w:rFonts w:ascii="Cairo" w:cs="Cairo" w:eastAsia="Cairo" w:hAnsi="Cairo"/>
          <w:sz w:val="22"/>
          <w:szCs w:val="22"/>
          <w:rtl/>
        </w:rPr>
        <w:t xml:space="preserve">«الإخلال الجوهري»: أيّ إخلالٍ يُمسّ جوهر العلاقة التعاقدية أو يُهدِّد سلامة تشغيل الشبكة أو سمعتها أو أمن الأصول، ومنها الإخلالات المحدَّدة بالملحق (هـ).</w:t>
      </w:r>
    </w:p>
    <w:p>
      <w:pPr>
        <w:pStyle w:val="ListParagraph"/>
        <w:numPr>
          <w:ilvl w:val="0"/>
          <w:numId w:val="2"/>
        </w:numPr>
        <w:bidi/>
        <w:spacing w:after="40" w:before="40" w:line="320"/>
        <w:jc w:val="both"/>
      </w:pPr>
      <w:r>
        <w:rPr>
          <w:rFonts w:ascii="Cairo" w:cs="Cairo" w:eastAsia="Cairo" w:hAnsi="Cairo"/>
          <w:sz w:val="22"/>
          <w:szCs w:val="22"/>
          <w:rtl/>
        </w:rPr>
        <w:t xml:space="preserve">«مركز CRCICA»: مركز القاهرة الإقليمي للتحكيم التجاري الدولي، المعتمد للفصل في النزاعات وفقًا للمادة السابعة والعشرين.</w:t>
      </w:r>
    </w:p>
    <w:p>
      <w:pPr>
        <w:pStyle w:val="ListParagraph"/>
        <w:numPr>
          <w:ilvl w:val="0"/>
          <w:numId w:val="2"/>
        </w:numPr>
        <w:bidi/>
        <w:spacing w:after="40" w:before="40" w:line="320"/>
        <w:jc w:val="both"/>
      </w:pPr>
      <w:r>
        <w:rPr>
          <w:rFonts w:ascii="Cairo" w:cs="Cairo" w:eastAsia="Cairo" w:hAnsi="Cairo"/>
          <w:sz w:val="22"/>
          <w:szCs w:val="22"/>
          <w:rtl/>
        </w:rPr>
        <w:t xml:space="preserve">«يوم عمل»: أيّ يومٍ من أيام الأسبوع عدا الجمعة والسبت والعطلات الرسمية في جمهورية مصر العربية.</w:t>
      </w:r>
    </w:p>
    <w:p>
      <w:pPr>
        <w:pStyle w:val="ListParagraph"/>
        <w:numPr>
          <w:ilvl w:val="0"/>
          <w:numId w:val="2"/>
        </w:numPr>
        <w:bidi/>
        <w:spacing w:after="40" w:before="40" w:line="320"/>
        <w:jc w:val="both"/>
      </w:pPr>
      <w:r>
        <w:rPr>
          <w:rFonts w:ascii="Cairo" w:cs="Cairo" w:eastAsia="Cairo" w:hAnsi="Cairo"/>
          <w:sz w:val="22"/>
          <w:szCs w:val="22"/>
          <w:rtl/>
        </w:rPr>
        <w:t xml:space="preserve">«قوة قاهرة»: أيّ حدثٍ خارجٍ عن سيطرة الطرفين المعقولة، يمنع تنفيذ الالتزامات كليًّا أو جزئيًّا، ويُعالَج طبقًا للمادة الثانية والعشرين.</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الثانية — موضوع العقد</w:t>
      </w:r>
    </w:p>
    <w:p>
      <w:pPr>
        <w:bidi/>
        <w:spacing w:after="80" w:before="80" w:line="320"/>
        <w:jc w:val="both"/>
      </w:pPr>
      <w:r>
        <w:rPr>
          <w:rFonts w:ascii="Cairo" w:cs="Cairo" w:eastAsia="Cairo" w:hAnsi="Cairo"/>
          <w:b w:val="false"/>
          <w:bCs w:val="false"/>
          <w:color w:val="000000"/>
          <w:sz w:val="22"/>
          <w:szCs w:val="22"/>
          <w:rtl/>
        </w:rPr>
        <w:t xml:space="preserve">يهدف هذا العقد إلى تنظيم العلاقة التعاقدية والتجارية والتشغيلية بين إيزي جاز والموزع المعتمد، على النحو التالي:</w:t>
      </w:r>
    </w:p>
    <w:p>
      <w:pPr>
        <w:pStyle w:val="ListParagraph"/>
        <w:numPr>
          <w:ilvl w:val="0"/>
          <w:numId w:val="2"/>
        </w:numPr>
        <w:bidi/>
        <w:spacing w:after="40" w:before="40" w:line="320"/>
        <w:jc w:val="both"/>
      </w:pPr>
      <w:r>
        <w:rPr>
          <w:rFonts w:ascii="Cairo" w:cs="Cairo" w:eastAsia="Cairo" w:hAnsi="Cairo"/>
          <w:sz w:val="22"/>
          <w:szCs w:val="22"/>
          <w:rtl/>
        </w:rPr>
        <w:t xml:space="preserve">تعيين الموزع بوصفه موزعًا معتمدًا لأسطوانات ومنتجات EzyGas Home و/أو EzyGas Premium وخدمات إعادة التعبئة المرتبطة بها، داخل النطاق الجغرافي المعتمد.</w:t>
      </w:r>
    </w:p>
    <w:p>
      <w:pPr>
        <w:pStyle w:val="ListParagraph"/>
        <w:numPr>
          <w:ilvl w:val="0"/>
          <w:numId w:val="2"/>
        </w:numPr>
        <w:bidi/>
        <w:spacing w:after="40" w:before="40" w:line="320"/>
        <w:jc w:val="both"/>
      </w:pPr>
      <w:r>
        <w:rPr>
          <w:rFonts w:ascii="Cairo" w:cs="Cairo" w:eastAsia="Cairo" w:hAnsi="Cairo"/>
          <w:sz w:val="22"/>
          <w:szCs w:val="22"/>
          <w:rtl/>
        </w:rPr>
        <w:t xml:space="preserve">تحديد حقوق والتزامات الطرفين المالية والتشغيلية والتقنية بما يضمن انضباط شبكة التوزيع، واستدامة الخدمة، وحماية الأصول، وتوحيد الأسعار أمام الجمهور.</w:t>
      </w:r>
    </w:p>
    <w:p>
      <w:pPr>
        <w:pStyle w:val="ListParagraph"/>
        <w:numPr>
          <w:ilvl w:val="0"/>
          <w:numId w:val="2"/>
        </w:numPr>
        <w:bidi/>
        <w:spacing w:after="40" w:before="40" w:line="320"/>
        <w:jc w:val="both"/>
      </w:pPr>
      <w:r>
        <w:rPr>
          <w:rFonts w:ascii="Cairo" w:cs="Cairo" w:eastAsia="Cairo" w:hAnsi="Cairo"/>
          <w:sz w:val="22"/>
          <w:szCs w:val="22"/>
          <w:rtl/>
        </w:rPr>
        <w:t xml:space="preserve">وضع إطارٍ واضحٍ لقياس الأداء، وتصعيد الإخلالات، وتطبيق الجزاءات، وحماية البيانات والملكية الفكرية، وفضّ النزاعات عبر مركز CRCICA.</w:t>
      </w:r>
    </w:p>
    <w:p>
      <w:pPr>
        <w:pStyle w:val="ListParagraph"/>
        <w:numPr>
          <w:ilvl w:val="0"/>
          <w:numId w:val="2"/>
        </w:numPr>
        <w:bidi/>
        <w:spacing w:after="40" w:before="40" w:line="320"/>
        <w:jc w:val="both"/>
      </w:pPr>
      <w:r>
        <w:rPr>
          <w:rFonts w:ascii="Cairo" w:cs="Cairo" w:eastAsia="Cairo" w:hAnsi="Cairo"/>
          <w:sz w:val="22"/>
          <w:szCs w:val="22"/>
          <w:rtl/>
        </w:rPr>
        <w:t xml:space="preserve">حَوْكمة دورة حياة الأسطوانة بوصفها أصلًا مملوكًا لإيزي جاز (وليست سلعة بيعٍ نهائيةً)، بما يشمل التتبُّع الرقمي عبر رمز QR، وضوابط التعبئة، وسياسة الفقد والاستبدال.</w:t>
      </w:r>
    </w:p>
    <w:p>
      <w:pPr>
        <w:pStyle w:val="ListParagraph"/>
        <w:numPr>
          <w:ilvl w:val="0"/>
          <w:numId w:val="2"/>
        </w:numPr>
        <w:bidi/>
        <w:spacing w:after="40" w:before="40" w:line="320"/>
        <w:jc w:val="both"/>
      </w:pPr>
      <w:r>
        <w:rPr>
          <w:rFonts w:ascii="Cairo" w:cs="Cairo" w:eastAsia="Cairo" w:hAnsi="Cairo"/>
          <w:sz w:val="22"/>
          <w:szCs w:val="22"/>
          <w:rtl/>
        </w:rPr>
        <w:t xml:space="preserve">تحقيق التوازن بين حقوق الطرفين على نحوٍ متبادلٍ ومشروطٍ، بحيث لا تُفرض التزامات على طرفٍ دون التزاماتٍ متقابلةٍ على الطرف الآخر.</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الثالثة — التعيين والفئة</w:t>
      </w:r>
    </w:p>
    <w:p>
      <w:pPr>
        <w:pStyle w:val="Heading2"/>
        <w:bidi/>
        <w:spacing w:after="140" w:before="260"/>
        <w:jc w:val="right"/>
      </w:pPr>
      <w:r>
        <w:rPr>
          <w:rFonts w:ascii="Cairo" w:cs="Cairo" w:eastAsia="Cairo" w:hAnsi="Cairo"/>
          <w:b/>
          <w:bCs/>
          <w:color w:val="1E7A3C"/>
          <w:sz w:val="26"/>
          <w:szCs w:val="26"/>
          <w:rtl/>
        </w:rPr>
        <w:t xml:space="preserve">3.1  تعيين الموزع</w:t>
      </w:r>
    </w:p>
    <w:p>
      <w:pPr>
        <w:bidi/>
        <w:spacing w:after="80" w:before="80" w:line="320"/>
        <w:jc w:val="both"/>
      </w:pPr>
      <w:r>
        <w:rPr>
          <w:rFonts w:ascii="Cairo" w:cs="Cairo" w:eastAsia="Cairo" w:hAnsi="Cairo"/>
          <w:b w:val="false"/>
          <w:bCs w:val="false"/>
          <w:color w:val="000000"/>
          <w:sz w:val="22"/>
          <w:szCs w:val="22"/>
          <w:rtl/>
        </w:rPr>
        <w:t xml:space="preserve">بموجب هذا العقد، تُعيِّن إيزي جاز الموزع — الذي يقبل هذا التعيين — «موزعًا معتمدًا ضمن شبكة EzyGas» في الفئة والنطاق الجغرافي المحدَّدَين أدناه، مع احتفاظ إيزي جاز بحقها في تعيين موزعين آخرين في نطاقاتٍ جغرافيةٍ مختلفة.</w:t>
      </w:r>
    </w:p>
    <w:p>
      <w:pPr>
        <w:pStyle w:val="Heading2"/>
        <w:bidi/>
        <w:spacing w:after="140" w:before="260"/>
        <w:jc w:val="right"/>
      </w:pPr>
      <w:r>
        <w:rPr>
          <w:rFonts w:ascii="Cairo" w:cs="Cairo" w:eastAsia="Cairo" w:hAnsi="Cairo"/>
          <w:b/>
          <w:bCs/>
          <w:color w:val="1E7A3C"/>
          <w:sz w:val="26"/>
          <w:szCs w:val="26"/>
          <w:rtl/>
        </w:rPr>
        <w:t xml:space="preserve">3.2  فئة الانضمام المعتمدة للموزع</w:t>
      </w:r>
    </w:p>
    <w:p>
      <w:pPr>
        <w:bidi/>
        <w:spacing w:after="80" w:before="80" w:line="320"/>
        <w:jc w:val="both"/>
      </w:pPr>
      <w:r>
        <w:rPr>
          <w:rFonts w:ascii="Cairo" w:cs="Cairo" w:eastAsia="Cairo" w:hAnsi="Cairo"/>
          <w:b w:val="false"/>
          <w:bCs w:val="false"/>
          <w:color w:val="000000"/>
          <w:sz w:val="22"/>
          <w:szCs w:val="22"/>
          <w:rtl/>
        </w:rPr>
        <w:t xml:space="preserve">تُحدَّد فئة الموزع والمعطيات المالية المقابلة لها — وتسري عليها كل أحكام برنامج الموزعين المعتمدين (الملحق أ) — على النحو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الحقل</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القيمة المعتمدة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الحقل</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القيمة المعتمدة</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الفئة</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(A / B / C / Entry)</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المزيج Home / Premium</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 / ........... %</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عدد الأسطوانات الملتزَم بها</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نسبة الدفعة المقدمة</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قيمة الدفعة المقدمة (ج.م)</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إجمالي قيمة الحجز بعد الخصم</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الخصم الأساسي (فوري)</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w:t>
            </w:r>
          </w:p>
        </w:tc>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حافز الأداء (ربع سنوي)</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 %</w:t>
            </w:r>
          </w:p>
        </w:tc>
      </w:tr>
    </w:tbl>
    <w:p>
      <w:pPr>
        <w:bidi/>
        <w:spacing w:after="100" w:before="10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3.3  طبيعة التعيين</w:t>
      </w:r>
    </w:p>
    <w:p>
      <w:pPr>
        <w:pStyle w:val="ListParagraph"/>
        <w:numPr>
          <w:ilvl w:val="0"/>
          <w:numId w:val="2"/>
        </w:numPr>
        <w:bidi/>
        <w:spacing w:after="40" w:before="40" w:line="320"/>
        <w:jc w:val="both"/>
      </w:pPr>
      <w:r>
        <w:rPr>
          <w:rFonts w:ascii="Cairo" w:cs="Cairo" w:eastAsia="Cairo" w:hAnsi="Cairo"/>
          <w:sz w:val="22"/>
          <w:szCs w:val="22"/>
          <w:rtl/>
        </w:rPr>
        <w:t xml:space="preserve">التعيين مشروطٌ وليس مطلقًا: يستمرّ التعيين ما دام الموزع ملتزمًا بشروط العقد والبرنامج.</w:t>
      </w:r>
    </w:p>
    <w:p>
      <w:pPr>
        <w:pStyle w:val="ListParagraph"/>
        <w:numPr>
          <w:ilvl w:val="0"/>
          <w:numId w:val="2"/>
        </w:numPr>
        <w:bidi/>
        <w:spacing w:after="40" w:before="40" w:line="320"/>
        <w:jc w:val="both"/>
      </w:pPr>
      <w:r>
        <w:rPr>
          <w:rFonts w:ascii="Cairo" w:cs="Cairo" w:eastAsia="Cairo" w:hAnsi="Cairo"/>
          <w:sz w:val="22"/>
          <w:szCs w:val="22"/>
          <w:rtl/>
        </w:rPr>
        <w:t xml:space="preserve">التعيين لا يُنشئ علاقة توكيل تجاري، ولا يجعل الموزع وكيلًا أو ممثلًا قانونيًّا عن إيزي جاز، بل يعمل لحسابه الخاص وباسمه وبمسؤوليته.</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التنازل عن هذا العقد أو عن أيّ جزءٍ من حقوقه أو التزاماته بموجبه لأيّ طرفٍ ثالثٍ إلا بموافقةٍ كتابيةٍ مسبقةٍ من إيزي جاز.</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الرابعة — النطاق الجغرافي والأولوية المشروطة</w:t>
      </w:r>
    </w:p>
    <w:p>
      <w:pPr>
        <w:pStyle w:val="Heading2"/>
        <w:bidi/>
        <w:spacing w:after="140" w:before="260"/>
        <w:jc w:val="right"/>
      </w:pPr>
      <w:r>
        <w:rPr>
          <w:rFonts w:ascii="Cairo" w:cs="Cairo" w:eastAsia="Cairo" w:hAnsi="Cairo"/>
          <w:b/>
          <w:bCs/>
          <w:color w:val="1E7A3C"/>
          <w:sz w:val="26"/>
          <w:szCs w:val="26"/>
          <w:rtl/>
        </w:rPr>
        <w:t xml:space="preserve">4.1  النطاق الجغرافي المعتمد</w:t>
      </w:r>
    </w:p>
    <w:p>
      <w:pPr>
        <w:bidi/>
        <w:spacing w:after="80" w:before="80" w:line="320"/>
        <w:jc w:val="both"/>
      </w:pPr>
      <w:r>
        <w:rPr>
          <w:rFonts w:ascii="Cairo" w:cs="Cairo" w:eastAsia="Cairo" w:hAnsi="Cairo"/>
          <w:b w:val="false"/>
          <w:bCs w:val="false"/>
          <w:color w:val="000000"/>
          <w:sz w:val="22"/>
          <w:szCs w:val="22"/>
          <w:rtl/>
        </w:rPr>
        <w:t xml:space="preserve">يُحدَّد النطاق الجغرافي للموزع كتابيًّا في ملحق التخصيص الجغرافي المرفق والموقَّع من الطرفين، ويشمل المحافظة/المدينة/المناطق الفرعية/الأحياء المذكورة تفصيلًا، وفي حدودها فقط.</w:t>
      </w:r>
    </w:p>
    <w:p>
      <w:pPr>
        <w:pStyle w:val="Heading2"/>
        <w:bidi/>
        <w:spacing w:after="140" w:before="260"/>
        <w:jc w:val="right"/>
      </w:pPr>
      <w:r>
        <w:rPr>
          <w:rFonts w:ascii="Cairo" w:cs="Cairo" w:eastAsia="Cairo" w:hAnsi="Cairo"/>
          <w:b/>
          <w:bCs/>
          <w:color w:val="1E7A3C"/>
          <w:sz w:val="26"/>
          <w:szCs w:val="26"/>
          <w:rtl/>
        </w:rPr>
        <w:t xml:space="preserve">4.2  مبدأ الأولوية المشروطة (Conditional Territorial Priority)</w:t>
      </w:r>
    </w:p>
    <w:p>
      <w:pPr>
        <w:bidi/>
        <w:spacing w:after="80" w:before="80" w:line="320"/>
        <w:jc w:val="both"/>
      </w:pPr>
      <w:r>
        <w:rPr>
          <w:rFonts w:ascii="Cairo" w:cs="Cairo" w:eastAsia="Cairo" w:hAnsi="Cairo"/>
          <w:b w:val="false"/>
          <w:bCs w:val="false"/>
          <w:color w:val="000000"/>
          <w:sz w:val="22"/>
          <w:szCs w:val="22"/>
          <w:rtl/>
        </w:rPr>
        <w:t xml:space="preserve">تمنح إيزي جاز الموزع أولوية تشغيلية في النطاق الجغرافي المعتمد، وتلتزم — خلال فترة الحماية المنصوص عليها في الفقرة 4.3 — بألا تُعيِّن موزعًا منافسًا آخر في النطاق ذاته، وذلك شريطة التزام الموزع بما يلي:</w:t>
      </w:r>
    </w:p>
    <w:p>
      <w:pPr>
        <w:pStyle w:val="ListParagraph"/>
        <w:numPr>
          <w:ilvl w:val="0"/>
          <w:numId w:val="2"/>
        </w:numPr>
        <w:bidi/>
        <w:spacing w:after="40" w:before="40" w:line="320"/>
        <w:jc w:val="both"/>
      </w:pPr>
      <w:r>
        <w:rPr>
          <w:rFonts w:ascii="Cairo" w:cs="Cairo" w:eastAsia="Cairo" w:hAnsi="Cairo"/>
          <w:sz w:val="22"/>
          <w:szCs w:val="22"/>
          <w:rtl/>
        </w:rPr>
        <w:t xml:space="preserve">سداد كامل الدفعة المقدمة وفقًا لفئته خلال مدة الاعتماد.</w:t>
      </w:r>
    </w:p>
    <w:p>
      <w:pPr>
        <w:pStyle w:val="ListParagraph"/>
        <w:numPr>
          <w:ilvl w:val="0"/>
          <w:numId w:val="2"/>
        </w:numPr>
        <w:bidi/>
        <w:spacing w:after="40" w:before="40" w:line="320"/>
        <w:jc w:val="both"/>
      </w:pPr>
      <w:r>
        <w:rPr>
          <w:rFonts w:ascii="Cairo" w:cs="Cairo" w:eastAsia="Cairo" w:hAnsi="Cairo"/>
          <w:sz w:val="22"/>
          <w:szCs w:val="22"/>
          <w:rtl/>
        </w:rPr>
        <w:t xml:space="preserve">تحقيق الحد الأدنى للأداء الشهري المنصوص عليه بالملحق (د).</w:t>
      </w:r>
    </w:p>
    <w:p>
      <w:pPr>
        <w:pStyle w:val="ListParagraph"/>
        <w:numPr>
          <w:ilvl w:val="0"/>
          <w:numId w:val="2"/>
        </w:numPr>
        <w:bidi/>
        <w:spacing w:after="40" w:before="40" w:line="320"/>
        <w:jc w:val="both"/>
      </w:pPr>
      <w:r>
        <w:rPr>
          <w:rFonts w:ascii="Cairo" w:cs="Cairo" w:eastAsia="Cairo" w:hAnsi="Cairo"/>
          <w:sz w:val="22"/>
          <w:szCs w:val="22"/>
          <w:rtl/>
        </w:rPr>
        <w:t xml:space="preserve">الالتزام بمعايير السلامة والتخزين والنقل بالملحق (و).</w:t>
      </w:r>
    </w:p>
    <w:p>
      <w:pPr>
        <w:pStyle w:val="ListParagraph"/>
        <w:numPr>
          <w:ilvl w:val="0"/>
          <w:numId w:val="2"/>
        </w:numPr>
        <w:bidi/>
        <w:spacing w:after="40" w:before="40" w:line="320"/>
        <w:jc w:val="both"/>
      </w:pPr>
      <w:r>
        <w:rPr>
          <w:rFonts w:ascii="Cairo" w:cs="Cairo" w:eastAsia="Cairo" w:hAnsi="Cairo"/>
          <w:sz w:val="22"/>
          <w:szCs w:val="22"/>
          <w:rtl/>
        </w:rPr>
        <w:t xml:space="preserve">الامتناع عن بيع أو توزيع منتجات منافسة ضمن تصنيف أسطوانات الغاز المركبة.</w:t>
      </w:r>
    </w:p>
    <w:p>
      <w:pPr>
        <w:pStyle w:val="Heading2"/>
        <w:bidi/>
        <w:spacing w:after="140" w:before="260"/>
        <w:jc w:val="right"/>
      </w:pPr>
      <w:r>
        <w:rPr>
          <w:rFonts w:ascii="Cairo" w:cs="Cairo" w:eastAsia="Cairo" w:hAnsi="Cairo"/>
          <w:b/>
          <w:bCs/>
          <w:color w:val="1E7A3C"/>
          <w:sz w:val="26"/>
          <w:szCs w:val="26"/>
          <w:rtl/>
        </w:rPr>
        <w:t xml:space="preserve">4.3  فترة الحماية (Protection Window)</w:t>
      </w:r>
    </w:p>
    <w:p>
      <w:pPr>
        <w:pStyle w:val="ListParagraph"/>
        <w:numPr>
          <w:ilvl w:val="0"/>
          <w:numId w:val="2"/>
        </w:numPr>
        <w:bidi/>
        <w:spacing w:after="40" w:before="40" w:line="320"/>
        <w:jc w:val="both"/>
      </w:pPr>
      <w:r>
        <w:rPr>
          <w:rFonts w:ascii="Cairo" w:cs="Cairo" w:eastAsia="Cairo" w:hAnsi="Cairo"/>
          <w:sz w:val="22"/>
          <w:szCs w:val="22"/>
          <w:rtl/>
        </w:rPr>
        <w:t xml:space="preserve">تمنح إيزي جاز الموزع فترة حمايةٍ ابتدائيةٍ مدتها اثنا عشر (12) شهرًا من تاريخ اعتماد التوزيع الفعلي، لا تُعيَّن خلالها أيّ موزعٍ منافسٍ داخل النطاق الجغرافي المعتمد، حتى في حالة عدم بلوغ الموزع الحد الأدنى للأداء الشهري.</w:t>
      </w:r>
    </w:p>
    <w:p>
      <w:pPr>
        <w:pStyle w:val="ListParagraph"/>
        <w:numPr>
          <w:ilvl w:val="0"/>
          <w:numId w:val="2"/>
        </w:numPr>
        <w:bidi/>
        <w:spacing w:after="40" w:before="40" w:line="320"/>
        <w:jc w:val="both"/>
      </w:pPr>
      <w:r>
        <w:rPr>
          <w:rFonts w:ascii="Cairo" w:cs="Cairo" w:eastAsia="Cairo" w:hAnsi="Cairo"/>
          <w:sz w:val="22"/>
          <w:szCs w:val="22"/>
          <w:rtl/>
        </w:rPr>
        <w:t xml:space="preserve">تُطبَّق فترة الحماية بحسن نية، وتعترف بأن الأشهر الأولى من تشغيل الشبكة تستلزم استثمارًا في بناء الأصول وإطلاق التسويق وتدريب الفريق.</w:t>
      </w:r>
    </w:p>
    <w:p>
      <w:pPr>
        <w:pStyle w:val="ListParagraph"/>
        <w:numPr>
          <w:ilvl w:val="0"/>
          <w:numId w:val="2"/>
        </w:numPr>
        <w:bidi/>
        <w:spacing w:after="40" w:before="40" w:line="320"/>
        <w:jc w:val="both"/>
      </w:pPr>
      <w:r>
        <w:rPr>
          <w:rFonts w:ascii="Cairo" w:cs="Cairo" w:eastAsia="Cairo" w:hAnsi="Cairo"/>
          <w:sz w:val="22"/>
          <w:szCs w:val="22"/>
          <w:rtl/>
        </w:rPr>
        <w:t xml:space="preserve">لا يجوز لإيزي جاز إنهاء فترة الحماية قبل انقضاء 12 شهرًا إلا في حالتين حصريتين: (أ) إخلالٍ جوهريٍّ موثَّقٍ من الموزع، (ب) اتفاقٍ كتابيٍّ بين الطرفين.</w:t>
      </w:r>
    </w:p>
    <w:p>
      <w:pPr>
        <w:pStyle w:val="Heading2"/>
        <w:bidi/>
        <w:spacing w:after="140" w:before="260"/>
        <w:jc w:val="right"/>
      </w:pPr>
      <w:r>
        <w:rPr>
          <w:rFonts w:ascii="Cairo" w:cs="Cairo" w:eastAsia="Cairo" w:hAnsi="Cairo"/>
          <w:b/>
          <w:bCs/>
          <w:color w:val="1E7A3C"/>
          <w:sz w:val="26"/>
          <w:szCs w:val="26"/>
          <w:rtl/>
        </w:rPr>
        <w:t xml:space="preserve">4.4  إجراء ما بعد فترة الحماية</w:t>
      </w:r>
    </w:p>
    <w:p>
      <w:pPr>
        <w:bidi/>
        <w:spacing w:after="80" w:before="80" w:line="320"/>
        <w:jc w:val="both"/>
      </w:pPr>
      <w:r>
        <w:rPr>
          <w:rFonts w:ascii="Cairo" w:cs="Cairo" w:eastAsia="Cairo" w:hAnsi="Cairo"/>
          <w:b w:val="false"/>
          <w:bCs w:val="false"/>
          <w:color w:val="000000"/>
          <w:sz w:val="22"/>
          <w:szCs w:val="22"/>
          <w:rtl/>
        </w:rPr>
        <w:t xml:space="preserve">بعد انقضاء فترة الحماية، إذا لم يُحقِّق الموزع الحد الأدنى للأداء الشهري لثلاثة (3) أشهر متتالية، تسري الإجراءات التالية — بالترتيب وبصورة متدرِّجة — قبل أن يحقّ لإيزي جاز تعيين موزعٍ إضافيٍّ في النطاق:</w:t>
      </w:r>
    </w:p>
    <w:p>
      <w:pPr>
        <w:pStyle w:val="ListParagraph"/>
        <w:numPr>
          <w:ilvl w:val="0"/>
          <w:numId w:val="2"/>
        </w:numPr>
        <w:bidi/>
        <w:spacing w:after="40" w:before="40" w:line="320"/>
        <w:jc w:val="both"/>
      </w:pPr>
      <w:r>
        <w:rPr>
          <w:rFonts w:ascii="Cairo" w:cs="Cairo" w:eastAsia="Cairo" w:hAnsi="Cairo"/>
          <w:sz w:val="22"/>
          <w:szCs w:val="22"/>
          <w:rtl/>
        </w:rPr>
        <w:t xml:space="preserve">تُرسِل إيزي جاز إخطارًا كتابيًّا رسميًّا بالنقص في الأداء خلال (15) يومًا من انتهاء الشهر الثالث، وتُمنَح للموزع مهلة علاجٍ (Cure Period) مدتها تسعون (90) يومًا لاتخاذ إجراءاتٍ تصحيحية.</w:t>
      </w:r>
    </w:p>
    <w:p>
      <w:pPr>
        <w:pStyle w:val="ListParagraph"/>
        <w:numPr>
          <w:ilvl w:val="0"/>
          <w:numId w:val="2"/>
        </w:numPr>
        <w:bidi/>
        <w:spacing w:after="40" w:before="40" w:line="320"/>
        <w:jc w:val="both"/>
      </w:pPr>
      <w:r>
        <w:rPr>
          <w:rFonts w:ascii="Cairo" w:cs="Cairo" w:eastAsia="Cairo" w:hAnsi="Cairo"/>
          <w:sz w:val="22"/>
          <w:szCs w:val="22"/>
          <w:rtl/>
        </w:rPr>
        <w:t xml:space="preserve">خلال مهلة العلاج، يلتزم الطرفان بالاجتماع مرتَيْن على الأقل للتباحث في أسباب النقص، وتُرفَع محاضر لقاءاتٍ مكتوبة، ويُتَّفق على خطة تحسين أداء تتضمن مؤشراتٍ قابلةً للقياس.</w:t>
      </w:r>
    </w:p>
    <w:p>
      <w:pPr>
        <w:pStyle w:val="ListParagraph"/>
        <w:numPr>
          <w:ilvl w:val="0"/>
          <w:numId w:val="2"/>
        </w:numPr>
        <w:bidi/>
        <w:spacing w:after="40" w:before="40" w:line="320"/>
        <w:jc w:val="both"/>
      </w:pPr>
      <w:r>
        <w:rPr>
          <w:rFonts w:ascii="Cairo" w:cs="Cairo" w:eastAsia="Cairo" w:hAnsi="Cairo"/>
          <w:sz w:val="22"/>
          <w:szCs w:val="22"/>
          <w:rtl/>
        </w:rPr>
        <w:t xml:space="preserve">إذا لم يستوفِ الموزع خطة التحسين خلال مهلة العلاج، يحقّ لإيزي جاز — وبعد إخطارٍ ثانٍ مدته (30) يومًا — تعيين موزعٍ إضافيٍّ (لا استبدال) في النطاق، مع استمرار حقوق الموزع الأصلي التشغيلية والمالية.</w:t>
      </w:r>
    </w:p>
    <w:p>
      <w:pPr>
        <w:pStyle w:val="ListParagraph"/>
        <w:numPr>
          <w:ilvl w:val="0"/>
          <w:numId w:val="2"/>
        </w:numPr>
        <w:bidi/>
        <w:spacing w:after="40" w:before="40" w:line="320"/>
        <w:jc w:val="both"/>
      </w:pPr>
      <w:r>
        <w:rPr>
          <w:rFonts w:ascii="Cairo" w:cs="Cairo" w:eastAsia="Cairo" w:hAnsi="Cairo"/>
          <w:sz w:val="22"/>
          <w:szCs w:val="22"/>
          <w:rtl/>
        </w:rPr>
        <w:t xml:space="preserve">لا يحقّ لإيزي جاز تعيين أيّ موزعٍ منافسٍ في النطاق أثناء وجود قوة قاهرة، أو أثناء تأخُّر إيزي جاز ذاتها في التوريد لأسبابٍ لا يد للموزع فيها، أو أثناء أيّ تغييرٍ جوهريٍّ في إطار الدعم الحكومي أو السياسات التنظيمية يُبرِّر تخفيض الأهداف.</w:t>
      </w:r>
    </w:p>
    <w:p>
      <w:pPr>
        <w:pStyle w:val="Heading2"/>
        <w:bidi/>
        <w:spacing w:after="140" w:before="260"/>
        <w:jc w:val="right"/>
      </w:pPr>
      <w:r>
        <w:rPr>
          <w:rFonts w:ascii="Cairo" w:cs="Cairo" w:eastAsia="Cairo" w:hAnsi="Cairo"/>
          <w:b/>
          <w:bCs/>
          <w:color w:val="1E7A3C"/>
          <w:sz w:val="26"/>
          <w:szCs w:val="26"/>
          <w:rtl/>
        </w:rPr>
        <w:t xml:space="preserve">4.5  حماية تشغيلية للموزع</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ممارسة نشاطٍ بيعيٍّ إيجابيٍّ (Active Sales) خارج نطاقه الجغرافي المعتمد، إلا أنه يحقّ له تلبية طلباتٍ عفويةٍ (Passive Sales) تصدر من عملاء خارج النطاق دون أن يُعدّ ذلك إخلالًا.</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التقدُّم بطلب توسيعٍ للنطاق بعد (6) أشهر من التشغيل، ويُبَت في الطلب في حدود (30) يومًا على أساس الأداء الفعلي وقدرات البنية التحتية.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الخامسة — مدة العقد والتجديد</w:t>
      </w:r>
    </w:p>
    <w:p>
      <w:pPr>
        <w:pStyle w:val="Heading2"/>
        <w:bidi/>
        <w:spacing w:after="140" w:before="260"/>
        <w:jc w:val="right"/>
      </w:pPr>
      <w:r>
        <w:rPr>
          <w:rFonts w:ascii="Cairo" w:cs="Cairo" w:eastAsia="Cairo" w:hAnsi="Cairo"/>
          <w:b/>
          <w:bCs/>
          <w:color w:val="1E7A3C"/>
          <w:sz w:val="26"/>
          <w:szCs w:val="26"/>
          <w:rtl/>
        </w:rPr>
        <w:t xml:space="preserve">5.1  المدة الأصلية</w:t>
      </w:r>
    </w:p>
    <w:p>
      <w:pPr>
        <w:bidi/>
        <w:spacing w:after="80" w:before="80" w:line="320"/>
        <w:jc w:val="both"/>
      </w:pPr>
      <w:r>
        <w:rPr>
          <w:rFonts w:ascii="Cairo" w:cs="Cairo" w:eastAsia="Cairo" w:hAnsi="Cairo"/>
          <w:b w:val="false"/>
          <w:bCs w:val="false"/>
          <w:color w:val="000000"/>
          <w:sz w:val="22"/>
          <w:szCs w:val="22"/>
          <w:rtl/>
        </w:rPr>
        <w:t xml:space="preserve">تبدأ مدة هذا العقد من تاريخ توقيعه من الطرفين، وتستمر لمدة ثلاث (3) سنوات ميلادية كاملة، ما لم يُنهَ قبل ذلك وفقًا للمادة الثالثة والعشرين.</w:t>
      </w:r>
    </w:p>
    <w:p>
      <w:pPr>
        <w:pStyle w:val="Heading2"/>
        <w:bidi/>
        <w:spacing w:after="140" w:before="260"/>
        <w:jc w:val="right"/>
      </w:pPr>
      <w:r>
        <w:rPr>
          <w:rFonts w:ascii="Cairo" w:cs="Cairo" w:eastAsia="Cairo" w:hAnsi="Cairo"/>
          <w:b/>
          <w:bCs/>
          <w:color w:val="1E7A3C"/>
          <w:sz w:val="26"/>
          <w:szCs w:val="26"/>
          <w:rtl/>
        </w:rPr>
        <w:t xml:space="preserve">5.2  التجديد</w:t>
      </w:r>
    </w:p>
    <w:p>
      <w:pPr>
        <w:pStyle w:val="ListParagraph"/>
        <w:numPr>
          <w:ilvl w:val="0"/>
          <w:numId w:val="2"/>
        </w:numPr>
        <w:bidi/>
        <w:spacing w:after="40" w:before="40" w:line="320"/>
        <w:jc w:val="both"/>
      </w:pPr>
      <w:r>
        <w:rPr>
          <w:rFonts w:ascii="Cairo" w:cs="Cairo" w:eastAsia="Cairo" w:hAnsi="Cairo"/>
          <w:sz w:val="22"/>
          <w:szCs w:val="22"/>
          <w:rtl/>
        </w:rPr>
        <w:t xml:space="preserve">يُجدَّد العقد تلقائيًّا لفتراتٍ متعاقبةٍ مدة كلٍّ منها سنة واحدة ما لم يُخطِر أحد الطرفين الآخر كتابيًّا بعدم رغبته في التجديد قبل انتهاء المدة السارية بمدةٍ لا تقلّ عن تسعين (90) يومًا.</w:t>
      </w:r>
    </w:p>
    <w:p>
      <w:pPr>
        <w:pStyle w:val="ListParagraph"/>
        <w:numPr>
          <w:ilvl w:val="0"/>
          <w:numId w:val="2"/>
        </w:numPr>
        <w:bidi/>
        <w:spacing w:after="40" w:before="40" w:line="320"/>
        <w:jc w:val="both"/>
      </w:pPr>
      <w:r>
        <w:rPr>
          <w:rFonts w:ascii="Cairo" w:cs="Cairo" w:eastAsia="Cairo" w:hAnsi="Cairo"/>
          <w:sz w:val="22"/>
          <w:szCs w:val="22"/>
          <w:rtl/>
        </w:rPr>
        <w:t xml:space="preserve">عند التجديد تُعدَّل المعطيات المالية (أسعار التوريد، الحد الأدنى للأداء) وفقًا لظروف السوق، بالتفاوض بين الطرفين وبما يتسق مع المادة السابعة.</w:t>
      </w:r>
    </w:p>
    <w:p>
      <w:pPr>
        <w:pStyle w:val="Heading2"/>
        <w:bidi/>
        <w:spacing w:after="140" w:before="260"/>
        <w:jc w:val="right"/>
      </w:pPr>
      <w:r>
        <w:rPr>
          <w:rFonts w:ascii="Cairo" w:cs="Cairo" w:eastAsia="Cairo" w:hAnsi="Cairo"/>
          <w:b/>
          <w:bCs/>
          <w:color w:val="1E7A3C"/>
          <w:sz w:val="26"/>
          <w:szCs w:val="26"/>
          <w:rtl/>
        </w:rPr>
        <w:t xml:space="preserve">5.3  الاستمرار بعد انتهاء المدة دون إنهاءٍ رسمي</w:t>
      </w:r>
    </w:p>
    <w:p>
      <w:pPr>
        <w:bidi/>
        <w:spacing w:after="80" w:before="80" w:line="320"/>
        <w:jc w:val="both"/>
      </w:pPr>
      <w:r>
        <w:rPr>
          <w:rFonts w:ascii="Cairo" w:cs="Cairo" w:eastAsia="Cairo" w:hAnsi="Cairo"/>
          <w:b w:val="false"/>
          <w:bCs w:val="false"/>
          <w:color w:val="000000"/>
          <w:sz w:val="22"/>
          <w:szCs w:val="22"/>
          <w:rtl/>
        </w:rPr>
        <w:t xml:space="preserve">إذا استمر التعامل الفعلي بين الطرفين بعد انتهاء المدة دون إبرام عقدٍ جديدٍ أو إخطارٍ بعدم التجديد، يُعدّ العقد منسحبًا لمدةٍ غير محدَّدةٍ وقابلٍ للإنهاء بإخطارٍ كتابيٍّ من أيّ طرفٍ قبل (90) يومًا، مع استمرار سريان باقي أحكامه.</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السادسة — الدفعة المقدمة والرهن التجاري المسجَّل</w:t>
      </w:r>
    </w:p>
    <w:p>
      <w:pPr>
        <w:pStyle w:val="Heading2"/>
        <w:bidi/>
        <w:spacing w:after="140" w:before="260"/>
        <w:jc w:val="right"/>
      </w:pPr>
      <w:r>
        <w:rPr>
          <w:rFonts w:ascii="Cairo" w:cs="Cairo" w:eastAsia="Cairo" w:hAnsi="Cairo"/>
          <w:b/>
          <w:bCs/>
          <w:color w:val="1E7A3C"/>
          <w:sz w:val="26"/>
          <w:szCs w:val="26"/>
          <w:rtl/>
        </w:rPr>
        <w:t xml:space="preserve">6.1  طبيعة الدفعة المقدمة</w:t>
      </w:r>
    </w:p>
    <w:p>
      <w:pPr>
        <w:pStyle w:val="ListParagraph"/>
        <w:numPr>
          <w:ilvl w:val="0"/>
          <w:numId w:val="2"/>
        </w:numPr>
        <w:bidi/>
        <w:spacing w:after="40" w:before="40" w:line="320"/>
        <w:jc w:val="both"/>
      </w:pPr>
      <w:r>
        <w:rPr>
          <w:rFonts w:ascii="Cairo" w:cs="Cairo" w:eastAsia="Cairo" w:hAnsi="Cairo"/>
          <w:sz w:val="22"/>
          <w:szCs w:val="22"/>
          <w:rtl/>
        </w:rPr>
        <w:t xml:space="preserve">يسدِّد الموزع الدفعة المقدمة كاملة بالقيمة وبالنسبة المحدَّدة بالمادة الثالثة والملحق (أ) خلال المدة المذكورة في خطاب الاعتماد الصادر عن إيزي جاز.</w:t>
      </w:r>
    </w:p>
    <w:p>
      <w:pPr>
        <w:pStyle w:val="ListParagraph"/>
        <w:numPr>
          <w:ilvl w:val="0"/>
          <w:numId w:val="2"/>
        </w:numPr>
        <w:bidi/>
        <w:spacing w:after="40" w:before="40" w:line="320"/>
        <w:jc w:val="both"/>
      </w:pPr>
      <w:r>
        <w:rPr>
          <w:rFonts w:ascii="Cairo" w:cs="Cairo" w:eastAsia="Cairo" w:hAnsi="Cairo"/>
          <w:sz w:val="22"/>
          <w:szCs w:val="22"/>
          <w:rtl/>
        </w:rPr>
        <w:t xml:space="preserve">تُعدّ الدفعة المقدمة دفعة قابلة للاسترداد (Refundable Deposit) تُخصم من إجمالي قيمة التوريد عند التنفيذ الفعلي وفقًا لجدولٍ زمنيٍّ يُتفق عليه.</w:t>
      </w:r>
    </w:p>
    <w:p>
      <w:pPr>
        <w:pStyle w:val="ListParagraph"/>
        <w:numPr>
          <w:ilvl w:val="0"/>
          <w:numId w:val="2"/>
        </w:numPr>
        <w:bidi/>
        <w:spacing w:after="40" w:before="40" w:line="320"/>
        <w:jc w:val="both"/>
      </w:pPr>
      <w:r>
        <w:rPr>
          <w:rFonts w:ascii="Cairo" w:cs="Cairo" w:eastAsia="Cairo" w:hAnsi="Cairo"/>
          <w:sz w:val="22"/>
          <w:szCs w:val="22"/>
          <w:rtl/>
        </w:rPr>
        <w:t xml:space="preserve">لا يصبح الحجز ناف ًذا إلا بعد اعتماد إيزي جاز كتابيًّا لاستكمال جميع مستندات التأهيل.</w:t>
      </w:r>
    </w:p>
    <w:p>
      <w:pPr>
        <w:pStyle w:val="Heading2"/>
        <w:bidi/>
        <w:spacing w:after="140" w:before="260"/>
        <w:jc w:val="right"/>
      </w:pPr>
      <w:r>
        <w:rPr>
          <w:rFonts w:ascii="Cairo" w:cs="Cairo" w:eastAsia="Cairo" w:hAnsi="Cairo"/>
          <w:b/>
          <w:bCs/>
          <w:color w:val="1E7A3C"/>
          <w:sz w:val="26"/>
          <w:szCs w:val="26"/>
          <w:rtl/>
        </w:rPr>
        <w:t xml:space="preserve">6.2  الرهن التجاري المسجَّل (Registered Commercial Lien)</w:t>
      </w:r>
    </w:p>
    <w:p>
      <w:pPr>
        <w:pStyle w:val="ListParagraph"/>
        <w:numPr>
          <w:ilvl w:val="0"/>
          <w:numId w:val="2"/>
        </w:numPr>
        <w:bidi/>
        <w:spacing w:after="40" w:before="40" w:line="320"/>
        <w:jc w:val="both"/>
      </w:pPr>
      <w:r>
        <w:rPr>
          <w:rFonts w:ascii="Cairo" w:cs="Cairo" w:eastAsia="Cairo" w:hAnsi="Cairo"/>
          <w:sz w:val="22"/>
          <w:szCs w:val="22"/>
          <w:rtl/>
        </w:rPr>
        <w:t xml:space="preserve">يقرّ الطرفان بأن الدفعة المقدمة تُمثّل ضمانة عينية مقابل التزامات الموزع التعاقدية، وتخضع لقواعد الرهن التجاري المسجَّل وفقًا لأحكام قانون التجارة المصري (الكتاب الثالث).</w:t>
      </w:r>
    </w:p>
    <w:p>
      <w:pPr>
        <w:pStyle w:val="ListParagraph"/>
        <w:numPr>
          <w:ilvl w:val="0"/>
          <w:numId w:val="2"/>
        </w:numPr>
        <w:bidi/>
        <w:spacing w:after="40" w:before="40" w:line="320"/>
        <w:jc w:val="both"/>
      </w:pPr>
      <w:r>
        <w:rPr>
          <w:rFonts w:ascii="Cairo" w:cs="Cairo" w:eastAsia="Cairo" w:hAnsi="Cairo"/>
          <w:sz w:val="22"/>
          <w:szCs w:val="22"/>
          <w:rtl/>
        </w:rPr>
        <w:t xml:space="preserve">يُحرَّر بين الطرفين — خلال (15) يوم عمل من تاريخ سداد الدفعة المقدمة — محضر إثبات رهنٍ تجاريٍّ يُوثَّق لدى الجهات المختصة ويُسجَّل في السجل التجاري.</w:t>
      </w:r>
    </w:p>
    <w:p>
      <w:pPr>
        <w:pStyle w:val="ListParagraph"/>
        <w:numPr>
          <w:ilvl w:val="0"/>
          <w:numId w:val="2"/>
        </w:numPr>
        <w:bidi/>
        <w:spacing w:after="40" w:before="40" w:line="320"/>
        <w:jc w:val="both"/>
      </w:pPr>
      <w:r>
        <w:rPr>
          <w:rFonts w:ascii="Cairo" w:cs="Cairo" w:eastAsia="Cairo" w:hAnsi="Cairo"/>
          <w:sz w:val="22"/>
          <w:szCs w:val="22"/>
          <w:rtl/>
        </w:rPr>
        <w:t xml:space="preserve">يبقى الرهن ساريًا طوال مدة العقد، ولا يُفَكّ إلا بعد (أ) إنهاء العقد إنهاءً صحيحًا، و(ب) سداد كافة الالتزامات المستحقة للموزع أو عليه، و(ج) تسوية أصول الأسطوانات القائمة في عُهدته.</w:t>
      </w:r>
    </w:p>
    <w:p>
      <w:pPr>
        <w:pStyle w:val="ListParagraph"/>
        <w:numPr>
          <w:ilvl w:val="0"/>
          <w:numId w:val="2"/>
        </w:numPr>
        <w:bidi/>
        <w:spacing w:after="40" w:before="40" w:line="320"/>
        <w:jc w:val="both"/>
      </w:pPr>
      <w:r>
        <w:rPr>
          <w:rFonts w:ascii="Cairo" w:cs="Cairo" w:eastAsia="Cairo" w:hAnsi="Cairo"/>
          <w:sz w:val="22"/>
          <w:szCs w:val="22"/>
          <w:rtl/>
        </w:rPr>
        <w:t xml:space="preserve">يحقّ لإيزي جاز الخصم من قيمة الرهن في حالات إخلال الموزع بالتزاماته، بعد تطبيق نظام التصعيد المتدرِّج المنصوص عليه بالمادة العشرين، وبشرط إرسال إخطارٍ كتابيٍّ مفصَّلٍ للموزع قبل الخصم بـ (15) يومًا.</w:t>
      </w:r>
    </w:p>
    <w:p>
      <w:pPr>
        <w:pStyle w:val="Heading2"/>
        <w:bidi/>
        <w:spacing w:after="140" w:before="260"/>
        <w:jc w:val="right"/>
      </w:pPr>
      <w:r>
        <w:rPr>
          <w:rFonts w:ascii="Cairo" w:cs="Cairo" w:eastAsia="Cairo" w:hAnsi="Cairo"/>
          <w:b/>
          <w:bCs/>
          <w:color w:val="1E7A3C"/>
          <w:sz w:val="26"/>
          <w:szCs w:val="26"/>
          <w:rtl/>
        </w:rPr>
        <w:t xml:space="preserve">6.3  بنود الخصم من الدفعة المقدمة عند الإنهاء</w:t>
      </w:r>
    </w:p>
    <w:p>
      <w:pPr>
        <w:pStyle w:val="ListParagraph"/>
        <w:numPr>
          <w:ilvl w:val="0"/>
          <w:numId w:val="2"/>
        </w:numPr>
        <w:bidi/>
        <w:spacing w:after="40" w:before="40" w:line="320"/>
        <w:jc w:val="both"/>
      </w:pPr>
      <w:r>
        <w:rPr>
          <w:rFonts w:ascii="Cairo" w:cs="Cairo" w:eastAsia="Cairo" w:hAnsi="Cairo"/>
          <w:sz w:val="22"/>
          <w:szCs w:val="22"/>
          <w:rtl/>
        </w:rPr>
        <w:t xml:space="preserve">إذا أُلغي الحجز من الموزع بعد الاعتماد الكتابي، تُخصم من الدفعة المقدمة التكاليف الفعلية الموثَّقة التي تحمَّلتها إيزي جاز فعلًا، وبحدّ أقصى اثنين بالمئة (2%) من قيمة الدفعة، وتُردّ إلى الموزع خلال ستين (60) يومًا.</w:t>
      </w:r>
    </w:p>
    <w:p>
      <w:pPr>
        <w:pStyle w:val="ListParagraph"/>
        <w:numPr>
          <w:ilvl w:val="0"/>
          <w:numId w:val="2"/>
        </w:numPr>
        <w:bidi/>
        <w:spacing w:after="40" w:before="40" w:line="320"/>
        <w:jc w:val="both"/>
      </w:pPr>
      <w:r>
        <w:rPr>
          <w:rFonts w:ascii="Cairo" w:cs="Cairo" w:eastAsia="Cairo" w:hAnsi="Cairo"/>
          <w:sz w:val="22"/>
          <w:szCs w:val="22"/>
          <w:rtl/>
        </w:rPr>
        <w:t xml:space="preserve">يُلزَم الطرفان بمسك سجلٍّ تفصيليٍّ لجميع التكاليف المحتسبة، يُتاح للموزع للاطلاع وإبداء الاعتراض خلال (10) أيام من إخطاره.</w:t>
      </w:r>
    </w:p>
    <w:p>
      <w:pPr>
        <w:pStyle w:val="ListParagraph"/>
        <w:numPr>
          <w:ilvl w:val="0"/>
          <w:numId w:val="2"/>
        </w:numPr>
        <w:bidi/>
        <w:spacing w:after="40" w:before="40" w:line="320"/>
        <w:jc w:val="both"/>
      </w:pPr>
      <w:r>
        <w:rPr>
          <w:rFonts w:ascii="Cairo" w:cs="Cairo" w:eastAsia="Cairo" w:hAnsi="Cairo"/>
          <w:sz w:val="22"/>
          <w:szCs w:val="22"/>
          <w:rtl/>
        </w:rPr>
        <w:t xml:space="preserve">أيّ خصمٍ إضافيٍّ بخلاف ما ذُكر يستلزم اتفاقًا كتابيًّا أو حكمًا تحكيميًّا بموجب المادة السابعة والعشرين.</w:t>
      </w:r>
    </w:p>
    <w:p>
      <w:pPr>
        <w:pStyle w:val="Heading2"/>
        <w:bidi/>
        <w:spacing w:after="140" w:before="260"/>
        <w:jc w:val="right"/>
      </w:pPr>
      <w:r>
        <w:rPr>
          <w:rFonts w:ascii="Cairo" w:cs="Cairo" w:eastAsia="Cairo" w:hAnsi="Cairo"/>
          <w:b/>
          <w:bCs/>
          <w:color w:val="1E7A3C"/>
          <w:sz w:val="26"/>
          <w:szCs w:val="26"/>
          <w:rtl/>
        </w:rPr>
        <w:t xml:space="preserve">6.4  حماية الدفعة من مخاطر الشركة</w:t>
      </w:r>
    </w:p>
    <w:p>
      <w:pPr>
        <w:pStyle w:val="ListParagraph"/>
        <w:numPr>
          <w:ilvl w:val="0"/>
          <w:numId w:val="2"/>
        </w:numPr>
        <w:bidi/>
        <w:spacing w:after="40" w:before="40" w:line="320"/>
        <w:jc w:val="both"/>
      </w:pPr>
      <w:r>
        <w:rPr>
          <w:rFonts w:ascii="Cairo" w:cs="Cairo" w:eastAsia="Cairo" w:hAnsi="Cairo"/>
          <w:sz w:val="22"/>
          <w:szCs w:val="22"/>
          <w:rtl/>
        </w:rPr>
        <w:t xml:space="preserve">تُودَع الدفعة المقدمة في حساب مصرفي مخصَّص لإيزي جاز لدى بنكٍ مصريٍّ معتمد، ولا يجوز استخدامها إلا في تنفيذ التزامات الشركة التشغيلية تجاه الموزع.</w:t>
      </w:r>
    </w:p>
    <w:p>
      <w:pPr>
        <w:pStyle w:val="ListParagraph"/>
        <w:numPr>
          <w:ilvl w:val="0"/>
          <w:numId w:val="2"/>
        </w:numPr>
        <w:bidi/>
        <w:spacing w:after="40" w:before="40" w:line="320"/>
        <w:jc w:val="both"/>
      </w:pPr>
      <w:r>
        <w:rPr>
          <w:rFonts w:ascii="Cairo" w:cs="Cairo" w:eastAsia="Cairo" w:hAnsi="Cairo"/>
          <w:sz w:val="22"/>
          <w:szCs w:val="22"/>
          <w:rtl/>
        </w:rPr>
        <w:t xml:space="preserve">في حالة إعسار إيزي جاز أو توقُّفها عن السداد، يكون للموزع حق امتيازٍ على الحساب وفقًا لأحكام الرهن التجاري المسجَّل.</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السابعة — التسعير والتوريد</w:t>
      </w:r>
    </w:p>
    <w:p>
      <w:pPr>
        <w:pStyle w:val="Heading2"/>
        <w:bidi/>
        <w:spacing w:after="140" w:before="260"/>
        <w:jc w:val="right"/>
      </w:pPr>
      <w:r>
        <w:rPr>
          <w:rFonts w:ascii="Cairo" w:cs="Cairo" w:eastAsia="Cairo" w:hAnsi="Cairo"/>
          <w:b/>
          <w:bCs/>
          <w:color w:val="1E7A3C"/>
          <w:sz w:val="26"/>
          <w:szCs w:val="26"/>
          <w:rtl/>
        </w:rPr>
        <w:t xml:space="preserve">7.1  أسعار التوريد</w:t>
      </w:r>
    </w:p>
    <w:p>
      <w:pPr>
        <w:bidi/>
        <w:spacing w:after="80" w:before="80" w:line="320"/>
        <w:jc w:val="both"/>
      </w:pPr>
      <w:r>
        <w:rPr>
          <w:rFonts w:ascii="Cairo" w:cs="Cairo" w:eastAsia="Cairo" w:hAnsi="Cairo"/>
          <w:b w:val="false"/>
          <w:bCs w:val="false"/>
          <w:color w:val="000000"/>
          <w:sz w:val="22"/>
          <w:szCs w:val="22"/>
          <w:rtl/>
        </w:rPr>
        <w:t xml:space="preserve">يلتزم الموزع بشراء الأسطوانات وخدمة إعادة التعبئة من إيزي جاز بأسعار التوريد المعتمدة الواردة بالملحق (ب)، المبيَّنة على النحو التالي (شاملة التوصيل لمخازن الموزع ضمن النطاق):</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Home</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Premium</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توريد الأسطوانة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5,499</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إعادة التعبئة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430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7.2  آلية تعديل الأسعار</w:t>
      </w:r>
    </w:p>
    <w:p>
      <w:pPr>
        <w:pStyle w:val="ListParagraph"/>
        <w:numPr>
          <w:ilvl w:val="0"/>
          <w:numId w:val="2"/>
        </w:numPr>
        <w:bidi/>
        <w:spacing w:after="40" w:before="40" w:line="320"/>
        <w:jc w:val="both"/>
      </w:pPr>
      <w:r>
        <w:rPr>
          <w:rFonts w:ascii="Cairo" w:cs="Cairo" w:eastAsia="Cairo" w:hAnsi="Cairo"/>
          <w:sz w:val="22"/>
          <w:szCs w:val="22"/>
          <w:rtl/>
        </w:rPr>
        <w:t xml:space="preserve">يحقّ لإيزي جاز مراجعة أسعار التوريد بما لا يتجاوز مرتين في السنة التقويمية.</w:t>
      </w:r>
    </w:p>
    <w:p>
      <w:pPr>
        <w:pStyle w:val="ListParagraph"/>
        <w:numPr>
          <w:ilvl w:val="0"/>
          <w:numId w:val="2"/>
        </w:numPr>
        <w:bidi/>
        <w:spacing w:after="40" w:before="40" w:line="320"/>
        <w:jc w:val="both"/>
      </w:pPr>
      <w:r>
        <w:rPr>
          <w:rFonts w:ascii="Cairo" w:cs="Cairo" w:eastAsia="Cairo" w:hAnsi="Cairo"/>
          <w:sz w:val="22"/>
          <w:szCs w:val="22"/>
          <w:rtl/>
        </w:rPr>
        <w:t xml:space="preserve">لا يتعدى إجمالي الزيادة السنوية في سعر توريد الأسطوانة (10%) أو معدل التضخم الرسمي المعلن من الجهاز المركزي للتعبئة العامة والإحصاء — أيّهما أقلّ — إلا في حالة قوة قاهرة موثَّقة أو صدمة سعرية في سلسلة توريد الغاز البترولي المسال.</w:t>
      </w:r>
    </w:p>
    <w:p>
      <w:pPr>
        <w:pStyle w:val="ListParagraph"/>
        <w:numPr>
          <w:ilvl w:val="0"/>
          <w:numId w:val="2"/>
        </w:numPr>
        <w:bidi/>
        <w:spacing w:after="40" w:before="40" w:line="320"/>
        <w:jc w:val="both"/>
      </w:pPr>
      <w:r>
        <w:rPr>
          <w:rFonts w:ascii="Cairo" w:cs="Cairo" w:eastAsia="Cairo" w:hAnsi="Cairo"/>
          <w:sz w:val="22"/>
          <w:szCs w:val="22"/>
          <w:rtl/>
        </w:rPr>
        <w:t xml:space="preserve">يجب إخطار الموزع كتابيًّا قبل أيّ تعديلٍ في السعر بمدةٍ لا تقلّ عن ثلاثين (30) يومًا، مع شرح مبرِّرات التعديل وأثره على سعر البيع للجمهور.</w:t>
      </w:r>
    </w:p>
    <w:p>
      <w:pPr>
        <w:pStyle w:val="ListParagraph"/>
        <w:numPr>
          <w:ilvl w:val="0"/>
          <w:numId w:val="2"/>
        </w:numPr>
        <w:bidi/>
        <w:spacing w:after="40" w:before="40" w:line="320"/>
        <w:jc w:val="both"/>
      </w:pPr>
      <w:r>
        <w:rPr>
          <w:rFonts w:ascii="Cairo" w:cs="Cairo" w:eastAsia="Cairo" w:hAnsi="Cairo"/>
          <w:sz w:val="22"/>
          <w:szCs w:val="22"/>
          <w:rtl/>
        </w:rPr>
        <w:t xml:space="preserve">خلال مدة الإخطار، يحقّ للموزع طلب اجتماعٍ تفاوضيٍّ لبحث آلية تمرير الزيادة للسوق، ويلتزم الطرفان بحسن النية في التوصُّل إلى حلٍّ متوازن.</w:t>
      </w:r>
    </w:p>
    <w:p>
      <w:pPr>
        <w:pStyle w:val="Heading2"/>
        <w:bidi/>
        <w:spacing w:after="140" w:before="260"/>
        <w:jc w:val="right"/>
      </w:pPr>
      <w:r>
        <w:rPr>
          <w:rFonts w:ascii="Cairo" w:cs="Cairo" w:eastAsia="Cairo" w:hAnsi="Cairo"/>
          <w:b/>
          <w:bCs/>
          <w:color w:val="1E7A3C"/>
          <w:sz w:val="26"/>
          <w:szCs w:val="26"/>
          <w:rtl/>
        </w:rPr>
        <w:t xml:space="preserve">7.3  ضمان الحد الأدنى للتوريد</w:t>
      </w:r>
    </w:p>
    <w:p>
      <w:pPr>
        <w:pStyle w:val="ListParagraph"/>
        <w:numPr>
          <w:ilvl w:val="0"/>
          <w:numId w:val="2"/>
        </w:numPr>
        <w:bidi/>
        <w:spacing w:after="40" w:before="40" w:line="320"/>
        <w:jc w:val="both"/>
      </w:pPr>
      <w:r>
        <w:rPr>
          <w:rFonts w:ascii="Cairo" w:cs="Cairo" w:eastAsia="Cairo" w:hAnsi="Cairo"/>
          <w:sz w:val="22"/>
          <w:szCs w:val="22"/>
          <w:rtl/>
        </w:rPr>
        <w:t xml:space="preserve">تلتزم إيزي جاز بتوفير الكميات المتفَق عليها شهريًّا للموزع وفقًا لجدول التسليم المعتمد، وتُعدّ مسؤولةً عن أيّ تأخيرٍ يخرج عن نطاق القوة القاهرة.</w:t>
      </w:r>
    </w:p>
    <w:p>
      <w:pPr>
        <w:pStyle w:val="ListParagraph"/>
        <w:numPr>
          <w:ilvl w:val="0"/>
          <w:numId w:val="2"/>
        </w:numPr>
        <w:bidi/>
        <w:spacing w:after="40" w:before="40" w:line="320"/>
        <w:jc w:val="both"/>
      </w:pPr>
      <w:r>
        <w:rPr>
          <w:rFonts w:ascii="Cairo" w:cs="Cairo" w:eastAsia="Cairo" w:hAnsi="Cairo"/>
          <w:sz w:val="22"/>
          <w:szCs w:val="22"/>
          <w:rtl/>
        </w:rPr>
        <w:t xml:space="preserve">في حال تأخُّر إيزي جاز في التوريد لأسبابٍ غير قاهرة لمدة تزيد على (15) يوم عمل، يحقّ للموزع الحصول على مستحقاتٍ تعويضيةٍ وفقًا للملحق (هـ)، وتُعلَّق الأهداف الشهرية تناسبيًّا.</w:t>
      </w:r>
    </w:p>
    <w:p>
      <w:pPr>
        <w:pStyle w:val="ListParagraph"/>
        <w:numPr>
          <w:ilvl w:val="0"/>
          <w:numId w:val="2"/>
        </w:numPr>
        <w:bidi/>
        <w:spacing w:after="40" w:before="40" w:line="320"/>
        <w:jc w:val="both"/>
      </w:pPr>
      <w:r>
        <w:rPr>
          <w:rFonts w:ascii="Cairo" w:cs="Cairo" w:eastAsia="Cairo" w:hAnsi="Cairo"/>
          <w:sz w:val="22"/>
          <w:szCs w:val="22"/>
          <w:rtl/>
        </w:rPr>
        <w:t xml:space="preserve">إذا تجاوز التأخُّر (45) يومًا، يحقّ للموزع — بعد إخطارٍ مكتوبٍ — الحصول على موافقة إيزي جاز الكتابية للتوريد من مصادر بديلةٍ مؤقتة بحدٍّ أقصى عشرين بالمئة (20%) من الهدف الشهري.</w:t>
      </w:r>
    </w:p>
    <w:p>
      <w:pPr>
        <w:pStyle w:val="Heading2"/>
        <w:bidi/>
        <w:spacing w:after="140" w:before="260"/>
        <w:jc w:val="right"/>
      </w:pPr>
      <w:r>
        <w:rPr>
          <w:rFonts w:ascii="Cairo" w:cs="Cairo" w:eastAsia="Cairo" w:hAnsi="Cairo"/>
          <w:b/>
          <w:bCs/>
          <w:color w:val="1E7A3C"/>
          <w:sz w:val="26"/>
          <w:szCs w:val="26"/>
          <w:rtl/>
        </w:rPr>
        <w:t xml:space="preserve">7.4  الأسطوانات التابعة للموزع</w:t>
      </w:r>
    </w:p>
    <w:p>
      <w:pPr>
        <w:pStyle w:val="ListParagraph"/>
        <w:numPr>
          <w:ilvl w:val="0"/>
          <w:numId w:val="2"/>
        </w:numPr>
        <w:bidi/>
        <w:spacing w:after="40" w:before="40" w:line="320"/>
        <w:jc w:val="both"/>
      </w:pPr>
      <w:r>
        <w:rPr>
          <w:rFonts w:ascii="Cairo" w:cs="Cairo" w:eastAsia="Cairo" w:hAnsi="Cairo"/>
          <w:sz w:val="22"/>
          <w:szCs w:val="22"/>
          <w:rtl/>
        </w:rPr>
        <w:t xml:space="preserve">يمتلك الموزع حق الانتفاع التشغيلي بالأسطوانات الواردة إليه، وفق ضوابط دورة حياة الأصل المحدَّدة بالمادة الرابعة عشرة.</w:t>
      </w:r>
    </w:p>
    <w:p>
      <w:pPr>
        <w:pStyle w:val="ListParagraph"/>
        <w:numPr>
          <w:ilvl w:val="0"/>
          <w:numId w:val="2"/>
        </w:numPr>
        <w:bidi/>
        <w:spacing w:after="40" w:before="40" w:line="320"/>
        <w:jc w:val="both"/>
      </w:pPr>
      <w:r>
        <w:rPr>
          <w:rFonts w:ascii="Cairo" w:cs="Cairo" w:eastAsia="Cairo" w:hAnsi="Cairo"/>
          <w:sz w:val="22"/>
          <w:szCs w:val="22"/>
          <w:rtl/>
        </w:rPr>
        <w:t xml:space="preserve">تظلّ الهوية الرقمية للأسطوانة (رمز QR وبيانات التتبُّع) ملكًا حصريًّا لإيزي جاز، ويُعامَل أيّ تلاعبٍ بها بوصفه إخلالًا جوهريًّا وفقًا للملحق (هـ).</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الثامنة — الخصومات وحوافز الأداء</w:t>
      </w:r>
    </w:p>
    <w:p>
      <w:pPr>
        <w:pStyle w:val="Heading2"/>
        <w:bidi/>
        <w:spacing w:after="140" w:before="260"/>
        <w:jc w:val="right"/>
      </w:pPr>
      <w:r>
        <w:rPr>
          <w:rFonts w:ascii="Cairo" w:cs="Cairo" w:eastAsia="Cairo" w:hAnsi="Cairo"/>
          <w:b/>
          <w:bCs/>
          <w:color w:val="1E7A3C"/>
          <w:sz w:val="26"/>
          <w:szCs w:val="26"/>
          <w:rtl/>
        </w:rPr>
        <w:t xml:space="preserve">8.1  هيكل الخصومات</w:t>
      </w:r>
    </w:p>
    <w:p>
      <w:pPr>
        <w:bidi/>
        <w:spacing w:after="80" w:before="80" w:line="320"/>
        <w:jc w:val="both"/>
      </w:pPr>
      <w:r>
        <w:rPr>
          <w:rFonts w:ascii="Cairo" w:cs="Cairo" w:eastAsia="Cairo" w:hAnsi="Cairo"/>
          <w:b w:val="false"/>
          <w:bCs w:val="false"/>
          <w:color w:val="000000"/>
          <w:sz w:val="22"/>
          <w:szCs w:val="22"/>
          <w:rtl/>
        </w:rPr>
        <w:t xml:space="preserve">تُمنح الخصومات بناءً على حجم الحجز المعتمد ومستوى الأداء التشغيلي، وفق الجدول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الفئة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الخصم الأساسي (فوري)</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حافز الأداء (ربع سنوي)</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إجمالي الخصم المتاح</w:t>
            </w:r>
          </w:p>
        </w:tc>
      </w:tr>
      <w:tr>
        <w:tc>
          <w:tcPr>
            <w:tcW w:type="dxa" w:w="225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A (Elite)</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15%</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B</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8%</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C</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6%</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7.5%</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Entry</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3%</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8.2  الخصم الأساسي</w:t>
      </w:r>
    </w:p>
    <w:p>
      <w:pPr>
        <w:pStyle w:val="ListParagraph"/>
        <w:numPr>
          <w:ilvl w:val="0"/>
          <w:numId w:val="2"/>
        </w:numPr>
        <w:bidi/>
        <w:spacing w:after="40" w:before="40" w:line="320"/>
        <w:jc w:val="both"/>
      </w:pPr>
      <w:r>
        <w:rPr>
          <w:rFonts w:ascii="Cairo" w:cs="Cairo" w:eastAsia="Cairo" w:hAnsi="Cairo"/>
          <w:sz w:val="22"/>
          <w:szCs w:val="22"/>
          <w:rtl/>
        </w:rPr>
        <w:t xml:space="preserve">يُطبَّق الخصم الأساسي فوريًّا على فواتير التوريد (الأسطوانات وإعادة التعبئة).</w:t>
      </w:r>
    </w:p>
    <w:p>
      <w:pPr>
        <w:pStyle w:val="ListParagraph"/>
        <w:numPr>
          <w:ilvl w:val="0"/>
          <w:numId w:val="2"/>
        </w:numPr>
        <w:bidi/>
        <w:spacing w:after="40" w:before="40" w:line="320"/>
        <w:jc w:val="both"/>
      </w:pPr>
      <w:r>
        <w:rPr>
          <w:rFonts w:ascii="Cairo" w:cs="Cairo" w:eastAsia="Cairo" w:hAnsi="Cairo"/>
          <w:sz w:val="22"/>
          <w:szCs w:val="22"/>
          <w:rtl/>
        </w:rPr>
        <w:t xml:space="preserve">يسري الخصم الأساسي طالما بقي الموزع في فئته المعتمدة، ولا يُخفَّض أثناء مدة العقد.</w:t>
      </w:r>
    </w:p>
    <w:p>
      <w:pPr>
        <w:pStyle w:val="Heading2"/>
        <w:bidi/>
        <w:spacing w:after="140" w:before="260"/>
        <w:jc w:val="right"/>
      </w:pPr>
      <w:r>
        <w:rPr>
          <w:rFonts w:ascii="Cairo" w:cs="Cairo" w:eastAsia="Cairo" w:hAnsi="Cairo"/>
          <w:b/>
          <w:bCs/>
          <w:color w:val="1E7A3C"/>
          <w:sz w:val="26"/>
          <w:szCs w:val="26"/>
          <w:rtl/>
        </w:rPr>
        <w:t xml:space="preserve">8.3  حافز الأداء (Performance Incentive)</w:t>
      </w:r>
    </w:p>
    <w:p>
      <w:pPr>
        <w:pStyle w:val="ListParagraph"/>
        <w:numPr>
          <w:ilvl w:val="0"/>
          <w:numId w:val="2"/>
        </w:numPr>
        <w:bidi/>
        <w:spacing w:after="40" w:before="40" w:line="320"/>
        <w:jc w:val="both"/>
      </w:pPr>
      <w:r>
        <w:rPr>
          <w:rFonts w:ascii="Cairo" w:cs="Cairo" w:eastAsia="Cairo" w:hAnsi="Cairo"/>
          <w:sz w:val="22"/>
          <w:szCs w:val="22"/>
          <w:rtl/>
        </w:rPr>
        <w:t xml:space="preserve">يُصرف حافز الأداء في صورة مذكرة دائنة (Credit Note) ربع سنوية تُخصم من فواتير الربع التالي.</w:t>
      </w:r>
    </w:p>
    <w:p>
      <w:pPr>
        <w:pStyle w:val="ListParagraph"/>
        <w:numPr>
          <w:ilvl w:val="0"/>
          <w:numId w:val="2"/>
        </w:numPr>
        <w:bidi/>
        <w:spacing w:after="40" w:before="40" w:line="320"/>
        <w:jc w:val="both"/>
      </w:pPr>
      <w:r>
        <w:rPr>
          <w:rFonts w:ascii="Cairo" w:cs="Cairo" w:eastAsia="Cairo" w:hAnsi="Cairo"/>
          <w:sz w:val="22"/>
          <w:szCs w:val="22"/>
          <w:rtl/>
        </w:rPr>
        <w:t xml:space="preserve">مشروطٌ بتحقيق معدل دورانٍ لا يقلّ عن 3.5 عمليات إعادة تعبئة لكل أسطوانة ربع سنويًّا، محتسبًا على الأسطوانات المنشورة فعلًا في السوق لدى عملاء الموزع.</w:t>
      </w:r>
    </w:p>
    <w:p>
      <w:pPr>
        <w:pStyle w:val="ListParagraph"/>
        <w:numPr>
          <w:ilvl w:val="0"/>
          <w:numId w:val="2"/>
        </w:numPr>
        <w:bidi/>
        <w:spacing w:after="40" w:before="40" w:line="320"/>
        <w:jc w:val="both"/>
      </w:pPr>
      <w:r>
        <w:rPr>
          <w:rFonts w:ascii="Cairo" w:cs="Cairo" w:eastAsia="Cairo" w:hAnsi="Cairo"/>
          <w:sz w:val="22"/>
          <w:szCs w:val="22"/>
          <w:rtl/>
        </w:rPr>
        <w:t xml:space="preserve">إذا بلغ الموزع (90%) من المعدَّل المستهدف دون الوصول إليه كاملًا، يحقّ له نصف حافز الأداء عن ذلك الربع.</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بتقديم تقريرٍ ربع سنويٍّ تفصيليٍّ يُبرِّر فيه معدَّل الدوران مع البيانات المستخرجة من المنصة التقنية.</w:t>
      </w:r>
    </w:p>
    <w:p>
      <w:pPr>
        <w:pStyle w:val="Heading2"/>
        <w:bidi/>
        <w:spacing w:after="140" w:before="260"/>
        <w:jc w:val="right"/>
      </w:pPr>
      <w:r>
        <w:rPr>
          <w:rFonts w:ascii="Cairo" w:cs="Cairo" w:eastAsia="Cairo" w:hAnsi="Cairo"/>
          <w:b/>
          <w:bCs/>
          <w:color w:val="1E7A3C"/>
          <w:sz w:val="26"/>
          <w:szCs w:val="26"/>
          <w:rtl/>
        </w:rPr>
        <w:t xml:space="preserve">8.4  مبدأ حاكم</w:t>
      </w:r>
    </w:p>
    <w:p>
      <w:pPr>
        <w:bidi/>
        <w:spacing w:after="80" w:before="80" w:line="320"/>
        <w:jc w:val="both"/>
      </w:pPr>
      <w:r>
        <w:rPr>
          <w:rFonts w:ascii="Cairo" w:cs="Cairo" w:eastAsia="Cairo" w:hAnsi="Cairo"/>
          <w:b/>
          <w:bCs/>
          <w:color w:val="000000"/>
          <w:sz w:val="22"/>
          <w:szCs w:val="22"/>
          <w:rtl/>
        </w:rPr>
        <w:t xml:space="preserve">لا تُؤثِّر الخصومات الممنوحة للموزع بأيّ شكلٍ على السعر الرسمي للبيع للجمهور، وأيّ نقلٍ لتلك الخصومات إلى سعر البيع النهائي يُعدّ إخلالًا جوهريًّا بسياسة التسعير.</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التاسعة — رسوم التوصيل ورسوم المعالجة</w:t>
      </w:r>
    </w:p>
    <w:p>
      <w:pPr>
        <w:pStyle w:val="Heading2"/>
        <w:bidi/>
        <w:spacing w:after="140" w:before="260"/>
        <w:jc w:val="right"/>
      </w:pPr>
      <w:r>
        <w:rPr>
          <w:rFonts w:ascii="Cairo" w:cs="Cairo" w:eastAsia="Cairo" w:hAnsi="Cairo"/>
          <w:b/>
          <w:bCs/>
          <w:color w:val="1E7A3C"/>
          <w:sz w:val="26"/>
          <w:szCs w:val="26"/>
          <w:rtl/>
        </w:rPr>
        <w:t xml:space="preserve">9.1  منتج EzyGas Home</w:t>
      </w:r>
    </w:p>
    <w:p>
      <w:pPr>
        <w:bidi/>
        <w:spacing w:after="80" w:before="80" w:line="320"/>
        <w:jc w:val="both"/>
      </w:pPr>
      <w:r>
        <w:rPr>
          <w:rFonts w:ascii="Cairo" w:cs="Cairo" w:eastAsia="Cairo" w:hAnsi="Cairo"/>
          <w:b w:val="false"/>
          <w:bCs w:val="false"/>
          <w:color w:val="000000"/>
          <w:sz w:val="22"/>
          <w:szCs w:val="22"/>
          <w:rtl/>
        </w:rPr>
        <w:t xml:space="preserve">تسري قواعد رسوم التوصيل ورسوم المعالجة لمنتج EzyGas Home على النحو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النطاق</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رسوم التوصيل (للعميل)</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رسوم المعالجة (لإيزي جاز)</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داخل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50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 على رسوم التوصيل = 7.5 ج.م</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أكثر من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 على رسوم التوصيل = 15 ج.م</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9.2  منتج EzyGas Premium</w:t>
      </w:r>
    </w:p>
    <w:p>
      <w:pPr>
        <w:pStyle w:val="ListParagraph"/>
        <w:numPr>
          <w:ilvl w:val="0"/>
          <w:numId w:val="2"/>
        </w:numPr>
        <w:bidi/>
        <w:spacing w:after="40" w:before="40" w:line="320"/>
        <w:jc w:val="both"/>
      </w:pPr>
      <w:r>
        <w:rPr>
          <w:rFonts w:ascii="Cairo" w:cs="Cairo" w:eastAsia="Cairo" w:hAnsi="Cairo"/>
          <w:sz w:val="22"/>
          <w:szCs w:val="22"/>
          <w:rtl/>
        </w:rPr>
        <w:t xml:space="preserve">سعر إعادة التعبئة (549 جنيه) سعرٌ شاملٌ: إعادة التعبئة + التوصيل خلال مدة لا تتجاوز (3) ساعات، داخل نطاق (10) كم.</w:t>
      </w:r>
    </w:p>
    <w:p>
      <w:pPr>
        <w:pStyle w:val="ListParagraph"/>
        <w:numPr>
          <w:ilvl w:val="0"/>
          <w:numId w:val="2"/>
        </w:numPr>
        <w:bidi/>
        <w:spacing w:after="40" w:before="40" w:line="320"/>
        <w:jc w:val="both"/>
      </w:pPr>
      <w:r>
        <w:rPr>
          <w:rFonts w:ascii="Cairo" w:cs="Cairo" w:eastAsia="Cairo" w:hAnsi="Cairo"/>
          <w:sz w:val="22"/>
          <w:szCs w:val="22"/>
          <w:rtl/>
        </w:rPr>
        <w:t xml:space="preserve">إذا تجاوز التوصيل نطاق (10) كم: تُحصَّل (50) جنيهًا إضافية كرسوم مسافة.</w:t>
      </w:r>
    </w:p>
    <w:p>
      <w:pPr>
        <w:pStyle w:val="ListParagraph"/>
        <w:numPr>
          <w:ilvl w:val="0"/>
          <w:numId w:val="2"/>
        </w:numPr>
        <w:bidi/>
        <w:spacing w:after="40" w:before="40" w:line="320"/>
        <w:jc w:val="both"/>
      </w:pPr>
      <w:r>
        <w:rPr>
          <w:rFonts w:ascii="Cairo" w:cs="Cairo" w:eastAsia="Cairo" w:hAnsi="Cairo"/>
          <w:sz w:val="22"/>
          <w:szCs w:val="22"/>
          <w:rtl/>
        </w:rPr>
        <w:t xml:space="preserve">تُطبَّق رسوم معالجة (15%) على هذه الزيادة فقط، أيْ (7.5) جنيه تُستحَق لإيزي جاز.</w:t>
      </w:r>
    </w:p>
    <w:p>
      <w:pPr>
        <w:pStyle w:val="Heading2"/>
        <w:bidi/>
        <w:spacing w:after="140" w:before="260"/>
        <w:jc w:val="right"/>
      </w:pPr>
      <w:r>
        <w:rPr>
          <w:rFonts w:ascii="Cairo" w:cs="Cairo" w:eastAsia="Cairo" w:hAnsi="Cairo"/>
          <w:b/>
          <w:bCs/>
          <w:color w:val="1E7A3C"/>
          <w:sz w:val="26"/>
          <w:szCs w:val="26"/>
          <w:rtl/>
        </w:rPr>
        <w:t xml:space="preserve">9.3  التسويات الدورية لرسوم المعالجة</w:t>
      </w:r>
    </w:p>
    <w:p>
      <w:pPr>
        <w:pStyle w:val="ListParagraph"/>
        <w:numPr>
          <w:ilvl w:val="0"/>
          <w:numId w:val="2"/>
        </w:numPr>
        <w:bidi/>
        <w:spacing w:after="40" w:before="40" w:line="320"/>
        <w:jc w:val="both"/>
      </w:pPr>
      <w:r>
        <w:rPr>
          <w:rFonts w:ascii="Cairo" w:cs="Cairo" w:eastAsia="Cairo" w:hAnsi="Cairo"/>
          <w:sz w:val="22"/>
          <w:szCs w:val="22"/>
          <w:rtl/>
        </w:rPr>
        <w:t xml:space="preserve">تُسوَّى رسوم المعالجة أسبوعيًّا أو نصف شهريًّا وفقًا لما يُتَّفق عليه في ملحق التسوية المالية، وتُرسَل كشوف تسوية تفصيلية خلال (5) أيام عمل من نهاية كل دورة.</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الاعتراض على أيّ كشف تسوية خلال (10) أيام من استلامه. في حالة عدم الاعتراض تُعدّ التسوية نافذة.</w:t>
      </w:r>
    </w:p>
    <w:p>
      <w:pPr>
        <w:pStyle w:val="ListParagraph"/>
        <w:numPr>
          <w:ilvl w:val="0"/>
          <w:numId w:val="2"/>
        </w:numPr>
        <w:bidi/>
        <w:spacing w:after="40" w:before="40" w:line="320"/>
        <w:jc w:val="both"/>
      </w:pPr>
      <w:r>
        <w:rPr>
          <w:rFonts w:ascii="Cairo" w:cs="Cairo" w:eastAsia="Cairo" w:hAnsi="Cairo"/>
          <w:sz w:val="22"/>
          <w:szCs w:val="22"/>
          <w:rtl/>
        </w:rPr>
        <w:t xml:space="preserve">يُجرَى التسوية عبر المنصة التقنية بحيث تُتاح كشوف الحساب للموزع في الوقت الحقيقي (Real-time).</w:t>
      </w:r>
    </w:p>
    <w:p>
      <w:pPr>
        <w:pStyle w:val="Heading2"/>
        <w:bidi/>
        <w:spacing w:after="140" w:before="260"/>
        <w:jc w:val="right"/>
      </w:pPr>
      <w:r>
        <w:rPr>
          <w:rFonts w:ascii="Cairo" w:cs="Cairo" w:eastAsia="Cairo" w:hAnsi="Cairo"/>
          <w:b/>
          <w:bCs/>
          <w:color w:val="1E7A3C"/>
          <w:sz w:val="26"/>
          <w:szCs w:val="26"/>
          <w:rtl/>
        </w:rPr>
        <w:t xml:space="preserve">9.4  التزامات الموزع بشأن رسوم التوصيل</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تحصيل أيّ رسوم توصيلٍ تختلف عن الرسوم المعتمدة أعلاه دون موافقةٍ كتابيةٍ من إيزي جاز.</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بتسليم المبالغ المحصَّلة إلى إيزي جاز كاملةً قبل خصم حصته، ثم تُجرَى التسوية دوريًّا، وذلك وفق مبدأ السجل الأحادي الاتجاه (Append-Only Ledger).</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العاشرة — الالتزام بأسعار البيع للجمهور</w:t>
      </w:r>
    </w:p>
    <w:p>
      <w:pPr>
        <w:pStyle w:val="Heading2"/>
        <w:bidi/>
        <w:spacing w:after="140" w:before="260"/>
        <w:jc w:val="right"/>
      </w:pPr>
      <w:r>
        <w:rPr>
          <w:rFonts w:ascii="Cairo" w:cs="Cairo" w:eastAsia="Cairo" w:hAnsi="Cairo"/>
          <w:b/>
          <w:bCs/>
          <w:color w:val="1E7A3C"/>
          <w:sz w:val="26"/>
          <w:szCs w:val="26"/>
          <w:rtl/>
        </w:rPr>
        <w:t xml:space="preserve">10.1  مصدر الأسعار الوحيد (Single Source of Truth)</w:t>
      </w:r>
    </w:p>
    <w:p>
      <w:pPr>
        <w:pStyle w:val="ListParagraph"/>
        <w:numPr>
          <w:ilvl w:val="0"/>
          <w:numId w:val="2"/>
        </w:numPr>
        <w:bidi/>
        <w:spacing w:after="40" w:before="40" w:line="320"/>
        <w:jc w:val="both"/>
      </w:pPr>
      <w:r>
        <w:rPr>
          <w:rFonts w:ascii="Cairo" w:cs="Cairo" w:eastAsia="Cairo" w:hAnsi="Cairo"/>
          <w:sz w:val="22"/>
          <w:szCs w:val="22"/>
          <w:rtl/>
        </w:rPr>
        <w:t xml:space="preserve">الموقع الإلكتروني www.ezy-gas.com هو المصدر الوحيد المعتمد لأسعار البيع للجمهور، وأيّ سعرٍ غير منشورٍ على الموقع يُعدّ غير معتمد وغير ملزم لأيّ من الطرفين.</w:t>
      </w:r>
    </w:p>
    <w:p>
      <w:pPr>
        <w:pStyle w:val="ListParagraph"/>
        <w:numPr>
          <w:ilvl w:val="0"/>
          <w:numId w:val="2"/>
        </w:numPr>
        <w:bidi/>
        <w:spacing w:after="40" w:before="40" w:line="320"/>
        <w:jc w:val="both"/>
      </w:pPr>
      <w:r>
        <w:rPr>
          <w:rFonts w:ascii="Cairo" w:cs="Cairo" w:eastAsia="Cairo" w:hAnsi="Cairo"/>
          <w:sz w:val="22"/>
          <w:szCs w:val="22"/>
          <w:rtl/>
        </w:rPr>
        <w:t xml:space="preserve">تُصدِر إيزي جاز قائمة أسعار بيعٍ رسميةٍ وملزمة للجمهور، وتحدِّث الموقع فور إجراء أيّ تعديل.</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بالبيع للجمهور وفق الأسعار المعلنة دون أيّ زيادة أو تخفيض.</w:t>
      </w:r>
    </w:p>
    <w:p>
      <w:pPr>
        <w:pStyle w:val="Heading2"/>
        <w:bidi/>
        <w:spacing w:after="140" w:before="260"/>
        <w:jc w:val="right"/>
      </w:pPr>
      <w:r>
        <w:rPr>
          <w:rFonts w:ascii="Cairo" w:cs="Cairo" w:eastAsia="Cairo" w:hAnsi="Cairo"/>
          <w:b/>
          <w:bCs/>
          <w:color w:val="1E7A3C"/>
          <w:sz w:val="26"/>
          <w:szCs w:val="26"/>
          <w:rtl/>
        </w:rPr>
        <w:t xml:space="preserve">10.2  الأسعار الرسمية للبيع للجمهور</w:t>
      </w:r>
    </w:p>
    <w:p>
      <w:pPr>
        <w:bidi/>
        <w:spacing w:after="80" w:before="80" w:line="320"/>
        <w:jc w:val="both"/>
      </w:pPr>
      <w:r>
        <w:rPr>
          <w:rFonts w:ascii="Cairo" w:cs="Cairo" w:eastAsia="Cairo" w:hAnsi="Cairo"/>
          <w:b w:val="false"/>
          <w:bCs w:val="false"/>
          <w:color w:val="000000"/>
          <w:sz w:val="22"/>
          <w:szCs w:val="22"/>
          <w:rtl/>
        </w:rPr>
        <w:t xml:space="preserve">حُدِّدت الأسعار الرسمية للبيع للجمهور على النحو التالي، وتُعدّ ملزمةً للموزع:</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المنتج/الخدمة</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السعر الرسمي للجمهور (ج.م)</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الشامل</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شراء أسطوانة EzyGas Home</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الأسطوانة فقط (بدون شحنة غاز أولى)</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شراء أسطوانة EzyGas Premium</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الأسطوانة فقط</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إعادة تعبئة Home</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430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التعبئة (بدون توصيل)</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إعادة تعبئة Premium</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تعبئة + توصيل 3 ساعات داخل 10 كم</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10.3  المخالفات السعرية</w:t>
      </w:r>
    </w:p>
    <w:p>
      <w:pPr>
        <w:pStyle w:val="ListParagraph"/>
        <w:numPr>
          <w:ilvl w:val="0"/>
          <w:numId w:val="2"/>
        </w:numPr>
        <w:bidi/>
        <w:spacing w:after="40" w:before="40" w:line="320"/>
        <w:jc w:val="both"/>
      </w:pPr>
      <w:r>
        <w:rPr>
          <w:rFonts w:ascii="Cairo" w:cs="Cairo" w:eastAsia="Cairo" w:hAnsi="Cairo"/>
          <w:sz w:val="22"/>
          <w:szCs w:val="22"/>
          <w:rtl/>
        </w:rPr>
        <w:t xml:space="preserve">أيّ مخالفة سعرية (زيادة على السعر المعلن، أو تخفيض غير مرخَّص، أو إضافة رسوم خفية) تُعدّ إخلالًا جوهريًّا.</w:t>
      </w:r>
    </w:p>
    <w:p>
      <w:pPr>
        <w:pStyle w:val="ListParagraph"/>
        <w:numPr>
          <w:ilvl w:val="0"/>
          <w:numId w:val="2"/>
        </w:numPr>
        <w:bidi/>
        <w:spacing w:after="40" w:before="40" w:line="320"/>
        <w:jc w:val="both"/>
      </w:pPr>
      <w:r>
        <w:rPr>
          <w:rFonts w:ascii="Cairo" w:cs="Cairo" w:eastAsia="Cairo" w:hAnsi="Cairo"/>
          <w:sz w:val="22"/>
          <w:szCs w:val="22"/>
          <w:rtl/>
        </w:rPr>
        <w:t xml:space="preserve">تخضع المخالفات السعرية لنظام التصعيد المتدرج بالمادة العشرين، ومصفوفة الغرامات بالملحق (هـ).</w:t>
      </w:r>
    </w:p>
    <w:p>
      <w:pPr>
        <w:pStyle w:val="ListParagraph"/>
        <w:numPr>
          <w:ilvl w:val="0"/>
          <w:numId w:val="2"/>
        </w:numPr>
        <w:bidi/>
        <w:spacing w:after="40" w:before="40" w:line="320"/>
        <w:jc w:val="both"/>
      </w:pPr>
      <w:r>
        <w:rPr>
          <w:rFonts w:ascii="Cairo" w:cs="Cairo" w:eastAsia="Cairo" w:hAnsi="Cairo"/>
          <w:sz w:val="22"/>
          <w:szCs w:val="22"/>
          <w:rtl/>
        </w:rPr>
        <w:t xml:space="preserve">لإيزي جاز الحق في إجراء عمليات شراءٍ تحت اسم المستهلك (Mystery Shopping) للتحقق من التزام الموزع بالأسعار الرسمية، ولا يجوز للموزع الاعتراض على نتائج هذا التحقق ما دامت موثَّقةً بالفاتورة أو التسجيل.</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الحادية عشرة — الحد الأدنى للأداء الشهري</w:t>
      </w:r>
    </w:p>
    <w:p>
      <w:pPr>
        <w:pStyle w:val="Heading2"/>
        <w:bidi/>
        <w:spacing w:after="140" w:before="260"/>
        <w:jc w:val="right"/>
      </w:pPr>
      <w:r>
        <w:rPr>
          <w:rFonts w:ascii="Cairo" w:cs="Cairo" w:eastAsia="Cairo" w:hAnsi="Cairo"/>
          <w:b/>
          <w:bCs/>
          <w:color w:val="1E7A3C"/>
          <w:sz w:val="26"/>
          <w:szCs w:val="26"/>
          <w:rtl/>
        </w:rPr>
        <w:t xml:space="preserve">11.1  الحدود الدنيا حسب الفئة</w:t>
      </w:r>
    </w:p>
    <w:p>
      <w:pPr>
        <w:bidi/>
        <w:spacing w:after="80" w:before="80" w:line="320"/>
        <w:jc w:val="both"/>
      </w:pPr>
      <w:r>
        <w:rPr>
          <w:rFonts w:ascii="Cairo" w:cs="Cairo" w:eastAsia="Cairo" w:hAnsi="Cairo"/>
          <w:b w:val="false"/>
          <w:bCs w:val="false"/>
          <w:color w:val="000000"/>
          <w:sz w:val="22"/>
          <w:szCs w:val="22"/>
          <w:rtl/>
        </w:rPr>
        <w:t xml:space="preserve">يلتزم الموزع بتحقيق الحد الأدنى الشهري للمبيعات (Monthly Minimum Performance) وفقًا لفئته — كما هو مبيَّن بالملحق (د) — على النحو التالي:</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الفئة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الشهري (أسطوانات منشورة)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الشهري (عمليات إعادة تعبئة)</w:t>
            </w:r>
          </w:p>
        </w:tc>
        <w:tc>
          <w:tcPr>
            <w:tcW w:type="dxa" w:w="225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السنوي المستهدف</w:t>
            </w:r>
          </w:p>
        </w:tc>
      </w:tr>
      <w:tr>
        <w:tc>
          <w:tcPr>
            <w:tcW w:type="dxa" w:w="225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A (Elite)</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25,000 – 100,000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B</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750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2,000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12,000 – 50,000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C</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6,000 – 25,000</w:t>
            </w:r>
          </w:p>
        </w:tc>
      </w:tr>
      <w:tr>
        <w:tc>
          <w:tcPr>
            <w:tcW w:type="dxa" w:w="225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Entry</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25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2,500 – 10,000</w:t>
            </w:r>
          </w:p>
        </w:tc>
      </w:tr>
    </w:tbl>
    <w:p>
      <w:pPr>
        <w:bidi/>
        <w:spacing w:after="60" w:before="60"/>
      </w:pPr>
      <w:r>
        <w:rPr>
          <w:rFonts w:ascii="Cairo" w:cs="Cairo" w:eastAsia="Cairo" w:hAnsi="Cairo"/>
        </w:rPr>
        <w:t xml:space="preserve"/>
      </w:r>
    </w:p>
    <w:p>
      <w:pPr>
        <w:bidi/>
        <w:spacing w:after="80" w:before="80" w:line="320"/>
        <w:jc w:val="both"/>
      </w:pPr>
      <w:r>
        <w:rPr>
          <w:rFonts w:ascii="Cairo" w:cs="Cairo" w:eastAsia="Cairo" w:hAnsi="Cairo"/>
          <w:b/>
          <w:bCs/>
          <w:color w:val="1E7A3C"/>
          <w:sz w:val="22"/>
          <w:szCs w:val="22"/>
          <w:rtl/>
        </w:rPr>
        <w:t xml:space="preserve">الأرقام أعلاه هي أهدافٌ مرنة وليست ثابتة؛ يُعاد تقييمها تناسبيًّا في الربع الأول من كل سنة تعاقدية بناءً على الأداء الفعلي وظروف السوق.</w:t>
      </w:r>
    </w:p>
    <w:p>
      <w:pPr>
        <w:pStyle w:val="Heading2"/>
        <w:bidi/>
        <w:spacing w:after="140" w:before="260"/>
        <w:jc w:val="right"/>
      </w:pPr>
      <w:r>
        <w:rPr>
          <w:rFonts w:ascii="Cairo" w:cs="Cairo" w:eastAsia="Cairo" w:hAnsi="Cairo"/>
          <w:b/>
          <w:bCs/>
          <w:color w:val="1E7A3C"/>
          <w:sz w:val="26"/>
          <w:szCs w:val="26"/>
          <w:rtl/>
        </w:rPr>
        <w:t xml:space="preserve">11.2  آلية القياس</w:t>
      </w:r>
    </w:p>
    <w:p>
      <w:pPr>
        <w:pStyle w:val="ListParagraph"/>
        <w:numPr>
          <w:ilvl w:val="0"/>
          <w:numId w:val="2"/>
        </w:numPr>
        <w:bidi/>
        <w:spacing w:after="40" w:before="40" w:line="320"/>
        <w:jc w:val="both"/>
      </w:pPr>
      <w:r>
        <w:rPr>
          <w:rFonts w:ascii="Cairo" w:cs="Cairo" w:eastAsia="Cairo" w:hAnsi="Cairo"/>
          <w:sz w:val="22"/>
          <w:szCs w:val="22"/>
          <w:rtl/>
        </w:rPr>
        <w:t xml:space="preserve">تُقاس الأسطوانات المنشورة والمُعاد تعبئتها عبر المنصة التقنية، وتُعدّ بيانات المنصة حُجةً لا تُدحَض إلا بدليلٍ كتابيٍّ مضاد.</w:t>
      </w:r>
    </w:p>
    <w:p>
      <w:pPr>
        <w:pStyle w:val="ListParagraph"/>
        <w:numPr>
          <w:ilvl w:val="0"/>
          <w:numId w:val="2"/>
        </w:numPr>
        <w:bidi/>
        <w:spacing w:after="40" w:before="40" w:line="320"/>
        <w:jc w:val="both"/>
      </w:pPr>
      <w:r>
        <w:rPr>
          <w:rFonts w:ascii="Cairo" w:cs="Cairo" w:eastAsia="Cairo" w:hAnsi="Cairo"/>
          <w:sz w:val="22"/>
          <w:szCs w:val="22"/>
          <w:rtl/>
        </w:rPr>
        <w:t xml:space="preserve">تُوضَع لوحة متابعة شهرية للأداء متاحة للموزع في الوقت الحقيقي.</w:t>
      </w:r>
    </w:p>
    <w:p>
      <w:pPr>
        <w:pStyle w:val="Heading2"/>
        <w:bidi/>
        <w:spacing w:after="140" w:before="260"/>
        <w:jc w:val="right"/>
      </w:pPr>
      <w:r>
        <w:rPr>
          <w:rFonts w:ascii="Cairo" w:cs="Cairo" w:eastAsia="Cairo" w:hAnsi="Cairo"/>
          <w:b/>
          <w:bCs/>
          <w:color w:val="1E7A3C"/>
          <w:sz w:val="26"/>
          <w:szCs w:val="26"/>
          <w:rtl/>
        </w:rPr>
        <w:t xml:space="preserve">11.3  استثناءات الحد الأدنى</w:t>
      </w:r>
    </w:p>
    <w:p>
      <w:pPr>
        <w:bidi/>
        <w:spacing w:after="80" w:before="80" w:line="320"/>
        <w:jc w:val="both"/>
      </w:pPr>
      <w:r>
        <w:rPr>
          <w:rFonts w:ascii="Cairo" w:cs="Cairo" w:eastAsia="Cairo" w:hAnsi="Cairo"/>
          <w:b w:val="false"/>
          <w:bCs w:val="false"/>
          <w:color w:val="000000"/>
          <w:sz w:val="22"/>
          <w:szCs w:val="22"/>
          <w:rtl/>
        </w:rPr>
        <w:t xml:space="preserve">تنخفض عتبة الحد الأدنى تناسبيًّا أو تُعلَّق كليًّا في الحالات التالية:</w:t>
      </w:r>
    </w:p>
    <w:p>
      <w:pPr>
        <w:pStyle w:val="ListParagraph"/>
        <w:numPr>
          <w:ilvl w:val="0"/>
          <w:numId w:val="2"/>
        </w:numPr>
        <w:bidi/>
        <w:spacing w:after="40" w:before="40" w:line="320"/>
        <w:jc w:val="both"/>
      </w:pPr>
      <w:r>
        <w:rPr>
          <w:rFonts w:ascii="Cairo" w:cs="Cairo" w:eastAsia="Cairo" w:hAnsi="Cairo"/>
          <w:sz w:val="22"/>
          <w:szCs w:val="22"/>
          <w:rtl/>
        </w:rPr>
        <w:t xml:space="preserve">دخول منافسٍ مباشر إلى النطاق الجغرافي بعد تعيين موزعٍ إضافيٍّ من إيزي جاز.</w:t>
      </w:r>
    </w:p>
    <w:p>
      <w:pPr>
        <w:pStyle w:val="ListParagraph"/>
        <w:numPr>
          <w:ilvl w:val="0"/>
          <w:numId w:val="2"/>
        </w:numPr>
        <w:bidi/>
        <w:spacing w:after="40" w:before="40" w:line="320"/>
        <w:jc w:val="both"/>
      </w:pPr>
      <w:r>
        <w:rPr>
          <w:rFonts w:ascii="Cairo" w:cs="Cairo" w:eastAsia="Cairo" w:hAnsi="Cairo"/>
          <w:sz w:val="22"/>
          <w:szCs w:val="22"/>
          <w:rtl/>
        </w:rPr>
        <w:t xml:space="preserve">تغيُّرٍ جوهريٍّ في سياسات الدعم الحكومي على أسطوانات الصلب يتجاوز (20%) صعودًا أو هبوطًا.</w:t>
      </w:r>
    </w:p>
    <w:p>
      <w:pPr>
        <w:pStyle w:val="ListParagraph"/>
        <w:numPr>
          <w:ilvl w:val="0"/>
          <w:numId w:val="2"/>
        </w:numPr>
        <w:bidi/>
        <w:spacing w:after="40" w:before="40" w:line="320"/>
        <w:jc w:val="both"/>
      </w:pPr>
      <w:r>
        <w:rPr>
          <w:rFonts w:ascii="Cairo" w:cs="Cairo" w:eastAsia="Cairo" w:hAnsi="Cairo"/>
          <w:sz w:val="22"/>
          <w:szCs w:val="22"/>
          <w:rtl/>
        </w:rPr>
        <w:t xml:space="preserve">انكماشٍ اقتصاديٍّ كليٍّ يتجاوز (10%) خلال سنةٍ واحدة.</w:t>
      </w:r>
    </w:p>
    <w:p>
      <w:pPr>
        <w:pStyle w:val="ListParagraph"/>
        <w:numPr>
          <w:ilvl w:val="0"/>
          <w:numId w:val="2"/>
        </w:numPr>
        <w:bidi/>
        <w:spacing w:after="40" w:before="40" w:line="320"/>
        <w:jc w:val="both"/>
      </w:pPr>
      <w:r>
        <w:rPr>
          <w:rFonts w:ascii="Cairo" w:cs="Cairo" w:eastAsia="Cairo" w:hAnsi="Cairo"/>
          <w:sz w:val="22"/>
          <w:szCs w:val="22"/>
          <w:rtl/>
        </w:rPr>
        <w:t xml:space="preserve">انقطاع الإمداد من إيزي جاز لأسبابٍ لا يد للموزع فيها لمدة تزيد على (15) يومًا في الشهر.</w:t>
      </w:r>
    </w:p>
    <w:p>
      <w:pPr>
        <w:pStyle w:val="ListParagraph"/>
        <w:numPr>
          <w:ilvl w:val="0"/>
          <w:numId w:val="2"/>
        </w:numPr>
        <w:bidi/>
        <w:spacing w:after="40" w:before="40" w:line="320"/>
        <w:jc w:val="both"/>
      </w:pPr>
      <w:r>
        <w:rPr>
          <w:rFonts w:ascii="Cairo" w:cs="Cairo" w:eastAsia="Cairo" w:hAnsi="Cairo"/>
          <w:sz w:val="22"/>
          <w:szCs w:val="22"/>
          <w:rtl/>
        </w:rPr>
        <w:t xml:space="preserve">قوة قاهرة مؤثِّرة على الأسواق المحلية وفقًا للمادة الثانية والعشرين.</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الثانية عشرة — التزامات الموزع التشغيلية</w:t>
      </w:r>
    </w:p>
    <w:p>
      <w:pPr>
        <w:pStyle w:val="Heading2"/>
        <w:bidi/>
        <w:spacing w:after="140" w:before="260"/>
        <w:jc w:val="right"/>
      </w:pPr>
      <w:r>
        <w:rPr>
          <w:rFonts w:ascii="Cairo" w:cs="Cairo" w:eastAsia="Cairo" w:hAnsi="Cairo"/>
          <w:b/>
          <w:bCs/>
          <w:color w:val="1E7A3C"/>
          <w:sz w:val="26"/>
          <w:szCs w:val="26"/>
          <w:rtl/>
        </w:rPr>
        <w:t xml:space="preserve">12.1  التزامات عامة</w:t>
      </w:r>
    </w:p>
    <w:p>
      <w:pPr>
        <w:pStyle w:val="ListParagraph"/>
        <w:numPr>
          <w:ilvl w:val="0"/>
          <w:numId w:val="2"/>
        </w:numPr>
        <w:bidi/>
        <w:spacing w:after="40" w:before="40" w:line="320"/>
        <w:jc w:val="both"/>
      </w:pPr>
      <w:r>
        <w:rPr>
          <w:rFonts w:ascii="Cairo" w:cs="Cairo" w:eastAsia="Cairo" w:hAnsi="Cairo"/>
          <w:sz w:val="22"/>
          <w:szCs w:val="22"/>
          <w:rtl/>
        </w:rPr>
        <w:t xml:space="preserve">الالتزام الكامل بسياسات إيزي جاز المالية والتشغيلية الواردة بهذا العقد وبرنامج الموزعين المعتمدين.</w:t>
      </w:r>
    </w:p>
    <w:p>
      <w:pPr>
        <w:pStyle w:val="ListParagraph"/>
        <w:numPr>
          <w:ilvl w:val="0"/>
          <w:numId w:val="2"/>
        </w:numPr>
        <w:bidi/>
        <w:spacing w:after="40" w:before="40" w:line="320"/>
        <w:jc w:val="both"/>
      </w:pPr>
      <w:r>
        <w:rPr>
          <w:rFonts w:ascii="Cairo" w:cs="Cairo" w:eastAsia="Cairo" w:hAnsi="Cairo"/>
          <w:sz w:val="22"/>
          <w:szCs w:val="22"/>
          <w:rtl/>
        </w:rPr>
        <w:t xml:space="preserve">الحفاظ على كيانٍ قانونيٍّ قائمٍ ومرخَّصٍ لمزاولة النشاط طوال مدة العقد، وإخطار إيزي جاز بأيّ تغيُّرٍ في الشكل القانوني أو الملكية خلال (15) يومًا.</w:t>
      </w:r>
    </w:p>
    <w:p>
      <w:pPr>
        <w:pStyle w:val="ListParagraph"/>
        <w:numPr>
          <w:ilvl w:val="0"/>
          <w:numId w:val="2"/>
        </w:numPr>
        <w:bidi/>
        <w:spacing w:after="40" w:before="40" w:line="320"/>
        <w:jc w:val="both"/>
      </w:pPr>
      <w:r>
        <w:rPr>
          <w:rFonts w:ascii="Cairo" w:cs="Cairo" w:eastAsia="Cairo" w:hAnsi="Cairo"/>
          <w:sz w:val="22"/>
          <w:szCs w:val="22"/>
          <w:rtl/>
        </w:rPr>
        <w:t xml:space="preserve">الحفاظ على ملاءةٍ ماليةٍ تتناسب مع فئة الانضمام، وتقديم قوائم ماليةٍ ربع سنويةٍ مُوقَّعةٍ من محاسبٍ قانونيٍّ معتمد.</w:t>
      </w:r>
    </w:p>
    <w:p>
      <w:pPr>
        <w:pStyle w:val="Heading2"/>
        <w:bidi/>
        <w:spacing w:after="140" w:before="260"/>
        <w:jc w:val="right"/>
      </w:pPr>
      <w:r>
        <w:rPr>
          <w:rFonts w:ascii="Cairo" w:cs="Cairo" w:eastAsia="Cairo" w:hAnsi="Cairo"/>
          <w:b/>
          <w:bCs/>
          <w:color w:val="1E7A3C"/>
          <w:sz w:val="26"/>
          <w:szCs w:val="26"/>
          <w:rtl/>
        </w:rPr>
        <w:t xml:space="preserve">12.2  التزامات تشغيلية يومية</w:t>
      </w:r>
    </w:p>
    <w:p>
      <w:pPr>
        <w:pStyle w:val="ListParagraph"/>
        <w:numPr>
          <w:ilvl w:val="0"/>
          <w:numId w:val="2"/>
        </w:numPr>
        <w:bidi/>
        <w:spacing w:after="40" w:before="40" w:line="320"/>
        <w:jc w:val="both"/>
      </w:pPr>
      <w:r>
        <w:rPr>
          <w:rFonts w:ascii="Cairo" w:cs="Cairo" w:eastAsia="Cairo" w:hAnsi="Cairo"/>
          <w:sz w:val="22"/>
          <w:szCs w:val="22"/>
          <w:rtl/>
        </w:rPr>
        <w:t xml:space="preserve">استخدام المنصة التقنية لإيزي جاز حصرًا في جميع عمليات استلام الأسطوانات، تتبُّعها، تسجيل التوصيلات، وتحصيل المبالغ.</w:t>
      </w:r>
    </w:p>
    <w:p>
      <w:pPr>
        <w:pStyle w:val="ListParagraph"/>
        <w:numPr>
          <w:ilvl w:val="0"/>
          <w:numId w:val="2"/>
        </w:numPr>
        <w:bidi/>
        <w:spacing w:after="40" w:before="40" w:line="320"/>
        <w:jc w:val="both"/>
      </w:pPr>
      <w:r>
        <w:rPr>
          <w:rFonts w:ascii="Cairo" w:cs="Cairo" w:eastAsia="Cairo" w:hAnsi="Cairo"/>
          <w:sz w:val="22"/>
          <w:szCs w:val="22"/>
          <w:rtl/>
        </w:rPr>
        <w:t xml:space="preserve">مسح رمز QR لكل أسطوانة عند كل نقطة تحوُّل (استلام — تسليم — إعادة — تعبئة).</w:t>
      </w:r>
    </w:p>
    <w:p>
      <w:pPr>
        <w:pStyle w:val="ListParagraph"/>
        <w:numPr>
          <w:ilvl w:val="0"/>
          <w:numId w:val="2"/>
        </w:numPr>
        <w:bidi/>
        <w:spacing w:after="40" w:before="40" w:line="320"/>
        <w:jc w:val="both"/>
      </w:pPr>
      <w:r>
        <w:rPr>
          <w:rFonts w:ascii="Cairo" w:cs="Cairo" w:eastAsia="Cairo" w:hAnsi="Cairo"/>
          <w:sz w:val="22"/>
          <w:szCs w:val="22"/>
          <w:rtl/>
        </w:rPr>
        <w:t xml:space="preserve">تدريب السائقين التابعين للموزع على استخدام التطبيق، واتباع ضوابط التعامل الآمن مع الأسطوانات وفقًا للملحق (و).</w:t>
      </w:r>
    </w:p>
    <w:p>
      <w:pPr>
        <w:pStyle w:val="ListParagraph"/>
        <w:numPr>
          <w:ilvl w:val="0"/>
          <w:numId w:val="2"/>
        </w:numPr>
        <w:bidi/>
        <w:spacing w:after="40" w:before="40" w:line="320"/>
        <w:jc w:val="both"/>
      </w:pPr>
      <w:r>
        <w:rPr>
          <w:rFonts w:ascii="Cairo" w:cs="Cairo" w:eastAsia="Cairo" w:hAnsi="Cairo"/>
          <w:sz w:val="22"/>
          <w:szCs w:val="22"/>
          <w:rtl/>
        </w:rPr>
        <w:t xml:space="preserve">الاحتفاظ بسجلٍّ يوميٍّ للأسطوانات في العُهدة مع تحديث الأرصدة في المنصة خلال (24) ساعة من أيّ حركة.</w:t>
      </w:r>
    </w:p>
    <w:p>
      <w:pPr>
        <w:pStyle w:val="Heading2"/>
        <w:bidi/>
        <w:spacing w:after="140" w:before="260"/>
        <w:jc w:val="right"/>
      </w:pPr>
      <w:r>
        <w:rPr>
          <w:rFonts w:ascii="Cairo" w:cs="Cairo" w:eastAsia="Cairo" w:hAnsi="Cairo"/>
          <w:b/>
          <w:bCs/>
          <w:color w:val="1E7A3C"/>
          <w:sz w:val="26"/>
          <w:szCs w:val="26"/>
          <w:rtl/>
        </w:rPr>
        <w:t xml:space="preserve">12.3  متطلبات السلامة والتخزين والنقل</w:t>
      </w:r>
    </w:p>
    <w:p>
      <w:pPr>
        <w:pStyle w:val="ListParagraph"/>
        <w:numPr>
          <w:ilvl w:val="0"/>
          <w:numId w:val="2"/>
        </w:numPr>
        <w:bidi/>
        <w:spacing w:after="40" w:before="40" w:line="320"/>
        <w:jc w:val="both"/>
      </w:pPr>
      <w:r>
        <w:rPr>
          <w:rFonts w:ascii="Cairo" w:cs="Cairo" w:eastAsia="Cairo" w:hAnsi="Cairo"/>
          <w:sz w:val="22"/>
          <w:szCs w:val="22"/>
          <w:rtl/>
        </w:rPr>
        <w:t xml:space="preserve">استيفاء متطلبات السلامة المعتمدة من إيزي جاز — تفصيلها بالملحق (و) — بشأن المخازن، والتهوية، ومسافات الفصل بين الأسطوانات الممتلئة والفارغة، وإجراءات الطوارئ.</w:t>
      </w:r>
    </w:p>
    <w:p>
      <w:pPr>
        <w:pStyle w:val="ListParagraph"/>
        <w:numPr>
          <w:ilvl w:val="0"/>
          <w:numId w:val="2"/>
        </w:numPr>
        <w:bidi/>
        <w:spacing w:after="40" w:before="40" w:line="320"/>
        <w:jc w:val="both"/>
      </w:pPr>
      <w:r>
        <w:rPr>
          <w:rFonts w:ascii="Cairo" w:cs="Cairo" w:eastAsia="Cairo" w:hAnsi="Cairo"/>
          <w:sz w:val="22"/>
          <w:szCs w:val="22"/>
          <w:rtl/>
        </w:rPr>
        <w:t xml:space="preserve">استخدام مركباتٍ معتمدةٍ فنيًّا ومجهَّزةٍ بطفايات حريق ولوحات تحذيرٍ مطابقةٍ لقانون المرور المصري، ومُرخَّصةٍ لنقل المواد البترولية.</w:t>
      </w:r>
    </w:p>
    <w:p>
      <w:pPr>
        <w:pStyle w:val="ListParagraph"/>
        <w:numPr>
          <w:ilvl w:val="0"/>
          <w:numId w:val="2"/>
        </w:numPr>
        <w:bidi/>
        <w:spacing w:after="40" w:before="40" w:line="320"/>
        <w:jc w:val="both"/>
      </w:pPr>
      <w:r>
        <w:rPr>
          <w:rFonts w:ascii="Cairo" w:cs="Cairo" w:eastAsia="Cairo" w:hAnsi="Cairo"/>
          <w:sz w:val="22"/>
          <w:szCs w:val="22"/>
          <w:rtl/>
        </w:rPr>
        <w:t xml:space="preserve">عدم خلط الأسطوانات المركبة مع أيّ أسطوانات معدنيةٍ أو غير معتمدةٍ أثناء التخزين أو النقل أو التسليم.</w:t>
      </w:r>
    </w:p>
    <w:p>
      <w:pPr>
        <w:pStyle w:val="Heading2"/>
        <w:bidi/>
        <w:spacing w:after="140" w:before="260"/>
        <w:jc w:val="right"/>
      </w:pPr>
      <w:r>
        <w:rPr>
          <w:rFonts w:ascii="Cairo" w:cs="Cairo" w:eastAsia="Cairo" w:hAnsi="Cairo"/>
          <w:b/>
          <w:bCs/>
          <w:color w:val="1E7A3C"/>
          <w:sz w:val="26"/>
          <w:szCs w:val="26"/>
          <w:rtl/>
        </w:rPr>
        <w:t xml:space="preserve">12.4  التزامات رقابية</w:t>
      </w:r>
    </w:p>
    <w:p>
      <w:pPr>
        <w:pStyle w:val="ListParagraph"/>
        <w:numPr>
          <w:ilvl w:val="0"/>
          <w:numId w:val="2"/>
        </w:numPr>
        <w:bidi/>
        <w:spacing w:after="40" w:before="40" w:line="320"/>
        <w:jc w:val="both"/>
      </w:pPr>
      <w:r>
        <w:rPr>
          <w:rFonts w:ascii="Cairo" w:cs="Cairo" w:eastAsia="Cairo" w:hAnsi="Cairo"/>
          <w:sz w:val="22"/>
          <w:szCs w:val="22"/>
          <w:rtl/>
        </w:rPr>
        <w:t xml:space="preserve">السماح لإيزي جاز بإجراء زياراتٍ تفتيشيةٍ في مخازن الموزع بإخطارٍ مسبقٍ لا يقلّ عن (48) ساعة، بحدٍّ أقصى (4) زياراتٍ في السنة، بغرض التحقق من الالتزام بالمعايير.</w:t>
      </w:r>
    </w:p>
    <w:p>
      <w:pPr>
        <w:pStyle w:val="ListParagraph"/>
        <w:numPr>
          <w:ilvl w:val="0"/>
          <w:numId w:val="2"/>
        </w:numPr>
        <w:bidi/>
        <w:spacing w:after="40" w:before="40" w:line="320"/>
        <w:jc w:val="both"/>
      </w:pPr>
      <w:r>
        <w:rPr>
          <w:rFonts w:ascii="Cairo" w:cs="Cairo" w:eastAsia="Cairo" w:hAnsi="Cairo"/>
          <w:sz w:val="22"/>
          <w:szCs w:val="22"/>
          <w:rtl/>
        </w:rPr>
        <w:t xml:space="preserve">الإبلاغ الفوري عن أيّ حادثٍ يتعلَّق بالسلامة أو سرقة أسطوانات أو إتلافها أو أيّ واقعة أمنية خلال (4) ساعات من علم الموزع بها.</w:t>
      </w:r>
    </w:p>
    <w:p>
      <w:pPr>
        <w:pStyle w:val="ListParagraph"/>
        <w:numPr>
          <w:ilvl w:val="0"/>
          <w:numId w:val="2"/>
        </w:numPr>
        <w:bidi/>
        <w:spacing w:after="40" w:before="40" w:line="320"/>
        <w:jc w:val="both"/>
      </w:pPr>
      <w:r>
        <w:rPr>
          <w:rFonts w:ascii="Cairo" w:cs="Cairo" w:eastAsia="Cairo" w:hAnsi="Cairo"/>
          <w:sz w:val="22"/>
          <w:szCs w:val="22"/>
          <w:rtl/>
        </w:rPr>
        <w:t xml:space="preserve">تقديم تقريرٍ شهريٍّ تفصيليٍّ عن الأداء والمخزون والحوادث، وفق النموذج المعتمد بالملحق (ز).</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الثالثة عشرة — التزامات إيزي جاز</w:t>
      </w:r>
    </w:p>
    <w:p>
      <w:pPr>
        <w:pStyle w:val="Heading2"/>
        <w:bidi/>
        <w:spacing w:after="140" w:before="260"/>
        <w:jc w:val="right"/>
      </w:pPr>
      <w:r>
        <w:rPr>
          <w:rFonts w:ascii="Cairo" w:cs="Cairo" w:eastAsia="Cairo" w:hAnsi="Cairo"/>
          <w:b/>
          <w:bCs/>
          <w:color w:val="1E7A3C"/>
          <w:sz w:val="26"/>
          <w:szCs w:val="26"/>
          <w:rtl/>
        </w:rPr>
        <w:t xml:space="preserve">13.1  الإمداد والتوريد</w:t>
      </w:r>
    </w:p>
    <w:p>
      <w:pPr>
        <w:pStyle w:val="ListParagraph"/>
        <w:numPr>
          <w:ilvl w:val="0"/>
          <w:numId w:val="2"/>
        </w:numPr>
        <w:bidi/>
        <w:spacing w:after="40" w:before="40" w:line="320"/>
        <w:jc w:val="both"/>
      </w:pPr>
      <w:r>
        <w:rPr>
          <w:rFonts w:ascii="Cairo" w:cs="Cairo" w:eastAsia="Cairo" w:hAnsi="Cairo"/>
          <w:sz w:val="22"/>
          <w:szCs w:val="22"/>
          <w:rtl/>
        </w:rPr>
        <w:t xml:space="preserve">الالتزام بتوفير الأسطوانات والمنتجات المتفَق عليها بالكميات والمواعيد المتفَق عليها.</w:t>
      </w:r>
    </w:p>
    <w:p>
      <w:pPr>
        <w:pStyle w:val="ListParagraph"/>
        <w:numPr>
          <w:ilvl w:val="0"/>
          <w:numId w:val="2"/>
        </w:numPr>
        <w:bidi/>
        <w:spacing w:after="40" w:before="40" w:line="320"/>
        <w:jc w:val="both"/>
      </w:pPr>
      <w:r>
        <w:rPr>
          <w:rFonts w:ascii="Cairo" w:cs="Cairo" w:eastAsia="Cairo" w:hAnsi="Cairo"/>
          <w:sz w:val="22"/>
          <w:szCs w:val="22"/>
          <w:rtl/>
        </w:rPr>
        <w:t xml:space="preserve">تقديم ضمانٍ تجاريٍّ لأيّ أسطوانةٍ معيبةٍ من الناحية التصنيعية لمدة (5) سنواتٍ من تاريخ التسليم، يُغطِّي الاستبدال الفوري دون تحميل الموزع أيّ تكلفة.</w:t>
      </w:r>
    </w:p>
    <w:p>
      <w:pPr>
        <w:pStyle w:val="ListParagraph"/>
        <w:numPr>
          <w:ilvl w:val="0"/>
          <w:numId w:val="2"/>
        </w:numPr>
        <w:bidi/>
        <w:spacing w:after="40" w:before="40" w:line="320"/>
        <w:jc w:val="both"/>
      </w:pPr>
      <w:r>
        <w:rPr>
          <w:rFonts w:ascii="Cairo" w:cs="Cairo" w:eastAsia="Cairo" w:hAnsi="Cairo"/>
          <w:sz w:val="22"/>
          <w:szCs w:val="22"/>
          <w:rtl/>
        </w:rPr>
        <w:t xml:space="preserve">إخطار الموزع مسبقًا بأيّ تأخيراتٍ متوقَّعةٍ في التوريد قبل (5) أيام عمل على الأقل.</w:t>
      </w:r>
    </w:p>
    <w:p>
      <w:pPr>
        <w:pStyle w:val="Heading2"/>
        <w:bidi/>
        <w:spacing w:after="140" w:before="260"/>
        <w:jc w:val="right"/>
      </w:pPr>
      <w:r>
        <w:rPr>
          <w:rFonts w:ascii="Cairo" w:cs="Cairo" w:eastAsia="Cairo" w:hAnsi="Cairo"/>
          <w:b/>
          <w:bCs/>
          <w:color w:val="1E7A3C"/>
          <w:sz w:val="26"/>
          <w:szCs w:val="26"/>
          <w:rtl/>
        </w:rPr>
        <w:t xml:space="preserve">13.2  الدعم التشغيلي والتقني</w:t>
      </w:r>
    </w:p>
    <w:p>
      <w:pPr>
        <w:pStyle w:val="ListParagraph"/>
        <w:numPr>
          <w:ilvl w:val="0"/>
          <w:numId w:val="2"/>
        </w:numPr>
        <w:bidi/>
        <w:spacing w:after="40" w:before="40" w:line="320"/>
        <w:jc w:val="both"/>
      </w:pPr>
      <w:r>
        <w:rPr>
          <w:rFonts w:ascii="Cairo" w:cs="Cairo" w:eastAsia="Cairo" w:hAnsi="Cairo"/>
          <w:sz w:val="22"/>
          <w:szCs w:val="22"/>
          <w:rtl/>
        </w:rPr>
        <w:t xml:space="preserve">توفير حق الوصول إلى المنصة التقنية (تطبيق الموزع، بوابة B2B، لوحة التحكم) طوال مدة العقد، دون رسوم إضافيةٍ ثابتة بخلاف رسوم المعالجة.</w:t>
      </w:r>
    </w:p>
    <w:p>
      <w:pPr>
        <w:pStyle w:val="ListParagraph"/>
        <w:numPr>
          <w:ilvl w:val="0"/>
          <w:numId w:val="2"/>
        </w:numPr>
        <w:bidi/>
        <w:spacing w:after="40" w:before="40" w:line="320"/>
        <w:jc w:val="both"/>
      </w:pPr>
      <w:r>
        <w:rPr>
          <w:rFonts w:ascii="Cairo" w:cs="Cairo" w:eastAsia="Cairo" w:hAnsi="Cairo"/>
          <w:sz w:val="22"/>
          <w:szCs w:val="22"/>
          <w:rtl/>
        </w:rPr>
        <w:t xml:space="preserve">ضمان إتاحة المنصة التقنية (SLA) بمعدلٍ لا يقلّ عن (99.5%) شهريًّا، مع تقديم تعويضاتٍ في حالة عدم الوفاء وفقًا للملحق (هـ).</w:t>
      </w:r>
    </w:p>
    <w:p>
      <w:pPr>
        <w:pStyle w:val="ListParagraph"/>
        <w:numPr>
          <w:ilvl w:val="0"/>
          <w:numId w:val="2"/>
        </w:numPr>
        <w:bidi/>
        <w:spacing w:after="40" w:before="40" w:line="320"/>
        <w:jc w:val="both"/>
      </w:pPr>
      <w:r>
        <w:rPr>
          <w:rFonts w:ascii="Cairo" w:cs="Cairo" w:eastAsia="Cairo" w:hAnsi="Cairo"/>
          <w:sz w:val="22"/>
          <w:szCs w:val="22"/>
          <w:rtl/>
        </w:rPr>
        <w:t xml:space="preserve">توفير تدريبٍ أوَّليٍّ للموزع وفريقه قبل بدء التشغيل، وتحديثاتٍ دوريةٍ على المستجدات التقنية والتشغيلية.</w:t>
      </w:r>
    </w:p>
    <w:p>
      <w:pPr>
        <w:pStyle w:val="Heading2"/>
        <w:bidi/>
        <w:spacing w:after="140" w:before="260"/>
        <w:jc w:val="right"/>
      </w:pPr>
      <w:r>
        <w:rPr>
          <w:rFonts w:ascii="Cairo" w:cs="Cairo" w:eastAsia="Cairo" w:hAnsi="Cairo"/>
          <w:b/>
          <w:bCs/>
          <w:color w:val="1E7A3C"/>
          <w:sz w:val="26"/>
          <w:szCs w:val="26"/>
          <w:rtl/>
        </w:rPr>
        <w:t xml:space="preserve">13.3  الدعم التسويقي</w:t>
      </w:r>
    </w:p>
    <w:p>
      <w:pPr>
        <w:pStyle w:val="ListParagraph"/>
        <w:numPr>
          <w:ilvl w:val="0"/>
          <w:numId w:val="2"/>
        </w:numPr>
        <w:bidi/>
        <w:spacing w:after="40" w:before="40" w:line="320"/>
        <w:jc w:val="both"/>
      </w:pPr>
      <w:r>
        <w:rPr>
          <w:rFonts w:ascii="Cairo" w:cs="Cairo" w:eastAsia="Cairo" w:hAnsi="Cairo"/>
          <w:sz w:val="22"/>
          <w:szCs w:val="22"/>
          <w:rtl/>
        </w:rPr>
        <w:t xml:space="preserve">دعم الحملات التسويقية المركزية التي تُعزِّز العلامة EzyGas على مستوى الجمهورية.</w:t>
      </w:r>
    </w:p>
    <w:p>
      <w:pPr>
        <w:pStyle w:val="ListParagraph"/>
        <w:numPr>
          <w:ilvl w:val="0"/>
          <w:numId w:val="2"/>
        </w:numPr>
        <w:bidi/>
        <w:spacing w:after="40" w:before="40" w:line="320"/>
        <w:jc w:val="both"/>
      </w:pPr>
      <w:r>
        <w:rPr>
          <w:rFonts w:ascii="Cairo" w:cs="Cairo" w:eastAsia="Cairo" w:hAnsi="Cairo"/>
          <w:sz w:val="22"/>
          <w:szCs w:val="22"/>
          <w:rtl/>
        </w:rPr>
        <w:t xml:space="preserve">تزويد الموزع بمواد تسويقية (لافتات، منشورات، محتوى رقمي) تحت العلامة التجارية، قابلة للتخصيص بنسبةٍ محدودة.</w:t>
      </w:r>
    </w:p>
    <w:p>
      <w:pPr>
        <w:pStyle w:val="ListParagraph"/>
        <w:numPr>
          <w:ilvl w:val="0"/>
          <w:numId w:val="2"/>
        </w:numPr>
        <w:bidi/>
        <w:spacing w:after="40" w:before="40" w:line="320"/>
        <w:jc w:val="both"/>
      </w:pPr>
      <w:r>
        <w:rPr>
          <w:rFonts w:ascii="Cairo" w:cs="Cairo" w:eastAsia="Cairo" w:hAnsi="Cairo"/>
          <w:sz w:val="22"/>
          <w:szCs w:val="22"/>
          <w:rtl/>
        </w:rPr>
        <w:t xml:space="preserve">إدراج الموزع على خريطة الموزعين المعتمدين على الموقع الإلكتروني مع تخصيص رقم تواصل مباشر لطلبات عملاء نطاقه.</w:t>
      </w:r>
    </w:p>
    <w:p>
      <w:pPr>
        <w:pStyle w:val="Heading2"/>
        <w:bidi/>
        <w:spacing w:after="140" w:before="260"/>
        <w:jc w:val="right"/>
      </w:pPr>
      <w:r>
        <w:rPr>
          <w:rFonts w:ascii="Cairo" w:cs="Cairo" w:eastAsia="Cairo" w:hAnsi="Cairo"/>
          <w:b/>
          <w:bCs/>
          <w:color w:val="1E7A3C"/>
          <w:sz w:val="26"/>
          <w:szCs w:val="26"/>
          <w:rtl/>
        </w:rPr>
        <w:t xml:space="preserve">13.4  الشفافية المالية</w:t>
      </w:r>
    </w:p>
    <w:p>
      <w:pPr>
        <w:pStyle w:val="ListParagraph"/>
        <w:numPr>
          <w:ilvl w:val="0"/>
          <w:numId w:val="2"/>
        </w:numPr>
        <w:bidi/>
        <w:spacing w:after="40" w:before="40" w:line="320"/>
        <w:jc w:val="both"/>
      </w:pPr>
      <w:r>
        <w:rPr>
          <w:rFonts w:ascii="Cairo" w:cs="Cairo" w:eastAsia="Cairo" w:hAnsi="Cairo"/>
          <w:sz w:val="22"/>
          <w:szCs w:val="22"/>
          <w:rtl/>
        </w:rPr>
        <w:t xml:space="preserve">تقديم كشف حساب شهري مفصَّل للموزع، يوضِّح جميع الفواتير والخصومات والتسويات والحوافز.</w:t>
      </w:r>
    </w:p>
    <w:p>
      <w:pPr>
        <w:pStyle w:val="ListParagraph"/>
        <w:numPr>
          <w:ilvl w:val="0"/>
          <w:numId w:val="2"/>
        </w:numPr>
        <w:bidi/>
        <w:spacing w:after="40" w:before="40" w:line="320"/>
        <w:jc w:val="both"/>
      </w:pPr>
      <w:r>
        <w:rPr>
          <w:rFonts w:ascii="Cairo" w:cs="Cairo" w:eastAsia="Cairo" w:hAnsi="Cairo"/>
          <w:sz w:val="22"/>
          <w:szCs w:val="22"/>
          <w:rtl/>
        </w:rPr>
        <w:t xml:space="preserve">تمكين الموزع من الاستعلام عن تاريخه المالي الكامل عبر المنصة التقنية في الوقت الحقيقي.</w:t>
      </w:r>
    </w:p>
    <w:p>
      <w:pPr>
        <w:pStyle w:val="ListParagraph"/>
        <w:numPr>
          <w:ilvl w:val="0"/>
          <w:numId w:val="2"/>
        </w:numPr>
        <w:bidi/>
        <w:spacing w:after="40" w:before="40" w:line="320"/>
        <w:jc w:val="both"/>
      </w:pPr>
      <w:r>
        <w:rPr>
          <w:rFonts w:ascii="Cairo" w:cs="Cairo" w:eastAsia="Cairo" w:hAnsi="Cairo"/>
          <w:sz w:val="22"/>
          <w:szCs w:val="22"/>
          <w:rtl/>
        </w:rPr>
        <w:t xml:space="preserve">ضمان استقلالية الدفعة المقدمة عن حسابات التشغيل اليومية لإيزي جاز، وفقًا للمادة السادسة.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الرابعة عشرة — حوكمة الأسطوانة كأصل</w:t>
      </w:r>
    </w:p>
    <w:p>
      <w:pPr>
        <w:pStyle w:val="Heading2"/>
        <w:bidi/>
        <w:spacing w:after="140" w:before="260"/>
        <w:jc w:val="right"/>
      </w:pPr>
      <w:r>
        <w:rPr>
          <w:rFonts w:ascii="Cairo" w:cs="Cairo" w:eastAsia="Cairo" w:hAnsi="Cairo"/>
          <w:b/>
          <w:bCs/>
          <w:color w:val="1E7A3C"/>
          <w:sz w:val="26"/>
          <w:szCs w:val="26"/>
          <w:rtl/>
        </w:rPr>
        <w:t xml:space="preserve">14.1  طبيعة الأسطوانة</w:t>
      </w:r>
    </w:p>
    <w:p>
      <w:pPr>
        <w:bidi/>
        <w:spacing w:after="80" w:before="80" w:line="320"/>
        <w:jc w:val="both"/>
      </w:pPr>
      <w:r>
        <w:rPr>
          <w:rFonts w:ascii="Cairo" w:cs="Cairo" w:eastAsia="Cairo" w:hAnsi="Cairo"/>
          <w:b/>
          <w:bCs/>
          <w:color w:val="000000"/>
          <w:sz w:val="22"/>
          <w:szCs w:val="22"/>
          <w:rtl/>
        </w:rPr>
        <w:t xml:space="preserve">يقرّ الطرفان بأن الأسطوانة المركبة — وإن بِيعت بالفاتورة — ليست سلعة استهلاكية عادية، بل أصلٌ تشغيليٌّ ذو هويةٍ رقميةٍ يخضع لحوكمة دورة الحياة الكاملة (End-to-End Asset Governance) عبر المنصة التقنية.</w:t>
      </w:r>
    </w:p>
    <w:p>
      <w:pPr>
        <w:pStyle w:val="Heading2"/>
        <w:bidi/>
        <w:spacing w:after="140" w:before="260"/>
        <w:jc w:val="right"/>
      </w:pPr>
      <w:r>
        <w:rPr>
          <w:rFonts w:ascii="Cairo" w:cs="Cairo" w:eastAsia="Cairo" w:hAnsi="Cairo"/>
          <w:b/>
          <w:bCs/>
          <w:color w:val="1E7A3C"/>
          <w:sz w:val="26"/>
          <w:szCs w:val="26"/>
          <w:rtl/>
        </w:rPr>
        <w:t xml:space="preserve">14.2  دورة حياة الأسطوانة</w:t>
      </w:r>
    </w:p>
    <w:p>
      <w:pPr>
        <w:bidi/>
        <w:spacing w:after="80" w:before="80" w:line="320"/>
        <w:jc w:val="both"/>
      </w:pPr>
      <w:r>
        <w:rPr>
          <w:rFonts w:ascii="Cairo" w:cs="Cairo" w:eastAsia="Cairo" w:hAnsi="Cairo"/>
          <w:b w:val="false"/>
          <w:bCs w:val="false"/>
          <w:color w:val="000000"/>
          <w:sz w:val="22"/>
          <w:szCs w:val="22"/>
          <w:rtl/>
        </w:rPr>
        <w:t xml:space="preserve">تُتابَع كل أسطوانةٍ رقميًّا عبر رمز QR الفريد في جميع حالات التحوُّل (Cylinder State Machine):</w:t>
      </w:r>
    </w:p>
    <w:p>
      <w:pPr>
        <w:pStyle w:val="ListParagraph"/>
        <w:numPr>
          <w:ilvl w:val="0"/>
          <w:numId w:val="2"/>
        </w:numPr>
        <w:bidi/>
        <w:spacing w:after="40" w:before="40" w:line="320"/>
        <w:jc w:val="both"/>
      </w:pPr>
      <w:r>
        <w:rPr>
          <w:rFonts w:ascii="Cairo" w:cs="Cairo" w:eastAsia="Cairo" w:hAnsi="Cairo"/>
          <w:sz w:val="22"/>
          <w:szCs w:val="22"/>
          <w:rtl/>
        </w:rPr>
        <w:t xml:space="preserve">استلام أولي من إيزي جاز (Received).</w:t>
      </w:r>
    </w:p>
    <w:p>
      <w:pPr>
        <w:pStyle w:val="ListParagraph"/>
        <w:numPr>
          <w:ilvl w:val="0"/>
          <w:numId w:val="2"/>
        </w:numPr>
        <w:bidi/>
        <w:spacing w:after="40" w:before="40" w:line="320"/>
        <w:jc w:val="both"/>
      </w:pPr>
      <w:r>
        <w:rPr>
          <w:rFonts w:ascii="Cairo" w:cs="Cairo" w:eastAsia="Cairo" w:hAnsi="Cairo"/>
          <w:sz w:val="22"/>
          <w:szCs w:val="22"/>
          <w:rtl/>
        </w:rPr>
        <w:t xml:space="preserve">بيع للعميل النهائي (Issued).</w:t>
      </w:r>
    </w:p>
    <w:p>
      <w:pPr>
        <w:pStyle w:val="ListParagraph"/>
        <w:numPr>
          <w:ilvl w:val="0"/>
          <w:numId w:val="2"/>
        </w:numPr>
        <w:bidi/>
        <w:spacing w:after="40" w:before="40" w:line="320"/>
        <w:jc w:val="both"/>
      </w:pPr>
      <w:r>
        <w:rPr>
          <w:rFonts w:ascii="Cairo" w:cs="Cairo" w:eastAsia="Cairo" w:hAnsi="Cairo"/>
          <w:sz w:val="22"/>
          <w:szCs w:val="22"/>
          <w:rtl/>
        </w:rPr>
        <w:t xml:space="preserve">فارغ في عُهدة الموزع (Empty).</w:t>
      </w:r>
    </w:p>
    <w:p>
      <w:pPr>
        <w:pStyle w:val="ListParagraph"/>
        <w:numPr>
          <w:ilvl w:val="0"/>
          <w:numId w:val="2"/>
        </w:numPr>
        <w:bidi/>
        <w:spacing w:after="40" w:before="40" w:line="320"/>
        <w:jc w:val="both"/>
      </w:pPr>
      <w:r>
        <w:rPr>
          <w:rFonts w:ascii="Cairo" w:cs="Cairo" w:eastAsia="Cairo" w:hAnsi="Cairo"/>
          <w:sz w:val="22"/>
          <w:szCs w:val="22"/>
          <w:rtl/>
        </w:rPr>
        <w:t xml:space="preserve">معاد إلى منشأة التعبئة المعتمدة (Returned-to-Fill).</w:t>
      </w:r>
    </w:p>
    <w:p>
      <w:pPr>
        <w:pStyle w:val="ListParagraph"/>
        <w:numPr>
          <w:ilvl w:val="0"/>
          <w:numId w:val="2"/>
        </w:numPr>
        <w:bidi/>
        <w:spacing w:after="40" w:before="40" w:line="320"/>
        <w:jc w:val="both"/>
      </w:pPr>
      <w:r>
        <w:rPr>
          <w:rFonts w:ascii="Cairo" w:cs="Cairo" w:eastAsia="Cairo" w:hAnsi="Cairo"/>
          <w:sz w:val="22"/>
          <w:szCs w:val="22"/>
          <w:rtl/>
        </w:rPr>
        <w:t xml:space="preserve">ممتلئ بعد التعبئة (Refilled).</w:t>
      </w:r>
    </w:p>
    <w:p>
      <w:pPr>
        <w:pStyle w:val="ListParagraph"/>
        <w:numPr>
          <w:ilvl w:val="0"/>
          <w:numId w:val="2"/>
        </w:numPr>
        <w:bidi/>
        <w:spacing w:after="40" w:before="40" w:line="320"/>
        <w:jc w:val="both"/>
      </w:pPr>
      <w:r>
        <w:rPr>
          <w:rFonts w:ascii="Cairo" w:cs="Cairo" w:eastAsia="Cairo" w:hAnsi="Cairo"/>
          <w:sz w:val="22"/>
          <w:szCs w:val="22"/>
          <w:rtl/>
        </w:rPr>
        <w:t xml:space="preserve">في حالة إصلاح أو اختبار فنّي (Under-Inspection).</w:t>
      </w:r>
    </w:p>
    <w:p>
      <w:pPr>
        <w:pStyle w:val="ListParagraph"/>
        <w:numPr>
          <w:ilvl w:val="0"/>
          <w:numId w:val="2"/>
        </w:numPr>
        <w:bidi/>
        <w:spacing w:after="40" w:before="40" w:line="320"/>
        <w:jc w:val="both"/>
      </w:pPr>
      <w:r>
        <w:rPr>
          <w:rFonts w:ascii="Cairo" w:cs="Cairo" w:eastAsia="Cairo" w:hAnsi="Cairo"/>
          <w:sz w:val="22"/>
          <w:szCs w:val="22"/>
          <w:rtl/>
        </w:rPr>
        <w:t xml:space="preserve">خارج الخدمة بصفة نهائية (Decommissioned).</w:t>
      </w:r>
    </w:p>
    <w:p>
      <w:pPr>
        <w:pStyle w:val="Heading2"/>
        <w:bidi/>
        <w:spacing w:after="140" w:before="260"/>
        <w:jc w:val="right"/>
      </w:pPr>
      <w:r>
        <w:rPr>
          <w:rFonts w:ascii="Cairo" w:cs="Cairo" w:eastAsia="Cairo" w:hAnsi="Cairo"/>
          <w:b/>
          <w:bCs/>
          <w:color w:val="1E7A3C"/>
          <w:sz w:val="26"/>
          <w:szCs w:val="26"/>
          <w:rtl/>
        </w:rPr>
        <w:t xml:space="preserve">14.3  سياسة الفقد والاستبدال</w:t>
      </w:r>
    </w:p>
    <w:p>
      <w:pPr>
        <w:pStyle w:val="ListParagraph"/>
        <w:numPr>
          <w:ilvl w:val="0"/>
          <w:numId w:val="2"/>
        </w:numPr>
        <w:bidi/>
        <w:spacing w:after="40" w:before="40" w:line="320"/>
        <w:jc w:val="both"/>
      </w:pPr>
      <w:r>
        <w:rPr>
          <w:rFonts w:ascii="Cairo" w:cs="Cairo" w:eastAsia="Cairo" w:hAnsi="Cairo"/>
          <w:sz w:val="22"/>
          <w:szCs w:val="22"/>
          <w:rtl/>
        </w:rPr>
        <w:t xml:space="preserve">يُحدَّد معدَّل فقدٍ مقبولٌ سنوي لا يتجاوز نصفًا بالمئة (0.5%) من الأسطوانات المنشورة لدى الموزع، ويُعفَى الموزع من تبعته.</w:t>
      </w:r>
    </w:p>
    <w:p>
      <w:pPr>
        <w:pStyle w:val="ListParagraph"/>
        <w:numPr>
          <w:ilvl w:val="0"/>
          <w:numId w:val="2"/>
        </w:numPr>
        <w:bidi/>
        <w:spacing w:after="40" w:before="40" w:line="320"/>
        <w:jc w:val="both"/>
      </w:pPr>
      <w:r>
        <w:rPr>
          <w:rFonts w:ascii="Cairo" w:cs="Cairo" w:eastAsia="Cairo" w:hAnsi="Cairo"/>
          <w:sz w:val="22"/>
          <w:szCs w:val="22"/>
          <w:rtl/>
        </w:rPr>
        <w:t xml:space="preserve">ما يتجاوز معدَّل الفقد المقبول يتحمَّل الموزع كامل قيمته بسعر التوريد، وتُخصَم من مستحقاته أو من الدفعة المقدمة (بعد التصعيد المتدرج).</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بالإبلاغ الفوري عن أيّ أسطوانةٍ تالفةٍ أو مسروقةٍ أو مفقودةٍ مع تقديم محضر شرطة حيثما أمكن.</w:t>
      </w:r>
    </w:p>
    <w:p>
      <w:pPr>
        <w:pStyle w:val="Heading2"/>
        <w:bidi/>
        <w:spacing w:after="140" w:before="260"/>
        <w:jc w:val="right"/>
      </w:pPr>
      <w:r>
        <w:rPr>
          <w:rFonts w:ascii="Cairo" w:cs="Cairo" w:eastAsia="Cairo" w:hAnsi="Cairo"/>
          <w:b/>
          <w:bCs/>
          <w:color w:val="1E7A3C"/>
          <w:sz w:val="26"/>
          <w:szCs w:val="26"/>
          <w:rtl/>
        </w:rPr>
        <w:t xml:space="preserve">14.4  الضوابط ضدّ غشّ الأصول (Fraud Controls)</w:t>
      </w:r>
    </w:p>
    <w:p>
      <w:pPr>
        <w:pStyle w:val="ListParagraph"/>
        <w:numPr>
          <w:ilvl w:val="0"/>
          <w:numId w:val="2"/>
        </w:numPr>
        <w:bidi/>
        <w:spacing w:after="40" w:before="40" w:line="320"/>
        <w:jc w:val="both"/>
      </w:pPr>
      <w:r>
        <w:rPr>
          <w:rFonts w:ascii="Cairo" w:cs="Cairo" w:eastAsia="Cairo" w:hAnsi="Cairo"/>
          <w:sz w:val="22"/>
          <w:szCs w:val="22"/>
          <w:rtl/>
        </w:rPr>
        <w:t xml:space="preserve">يُمنع منعًا باتًّا قبول أيّ أسطوانةٍ معدنيةٍ أو أسطوانةٍ مركبةٍ غير EzyGas في عمليات التبديل داخل الشبكة، ويرفضها النظام آليًّا.</w:t>
      </w:r>
    </w:p>
    <w:p>
      <w:pPr>
        <w:pStyle w:val="ListParagraph"/>
        <w:numPr>
          <w:ilvl w:val="0"/>
          <w:numId w:val="2"/>
        </w:numPr>
        <w:bidi/>
        <w:spacing w:after="40" w:before="40" w:line="320"/>
        <w:jc w:val="both"/>
      </w:pPr>
      <w:r>
        <w:rPr>
          <w:rFonts w:ascii="Cairo" w:cs="Cairo" w:eastAsia="Cairo" w:hAnsi="Cairo"/>
          <w:sz w:val="22"/>
          <w:szCs w:val="22"/>
          <w:rtl/>
        </w:rPr>
        <w:t xml:space="preserve">تخضع الأسطوانات المركبة المنافسة (إن وُجدت) لرسم عُهدةٍ قدره مئتا جنيه (200 ج.م) كحد أدنى، ولا تُضاف لمخزون الموزع إلا بموافقةٍ صريحةٍ من إيزي جاز.</w:t>
      </w:r>
    </w:p>
    <w:p>
      <w:pPr>
        <w:pStyle w:val="ListParagraph"/>
        <w:numPr>
          <w:ilvl w:val="0"/>
          <w:numId w:val="2"/>
        </w:numPr>
        <w:bidi/>
        <w:spacing w:after="40" w:before="40" w:line="320"/>
        <w:jc w:val="both"/>
      </w:pPr>
      <w:r>
        <w:rPr>
          <w:rFonts w:ascii="Cairo" w:cs="Cairo" w:eastAsia="Cairo" w:hAnsi="Cairo"/>
          <w:sz w:val="22"/>
          <w:szCs w:val="22"/>
          <w:rtl/>
        </w:rPr>
        <w:t xml:space="preserve">أيّ تلاعبٍ برمز QR أو الأصل الرقمي يُعدّ إخلالًا جوهريًّا وفقًا للملحق (هـ).</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الخامسة عشرة — التعبئة وضوابطها</w:t>
      </w:r>
    </w:p>
    <w:p>
      <w:pPr>
        <w:pStyle w:val="Heading2"/>
        <w:bidi/>
        <w:spacing w:after="140" w:before="260"/>
        <w:jc w:val="right"/>
      </w:pPr>
      <w:r>
        <w:rPr>
          <w:rFonts w:ascii="Cairo" w:cs="Cairo" w:eastAsia="Cairo" w:hAnsi="Cairo"/>
          <w:b/>
          <w:bCs/>
          <w:color w:val="1E7A3C"/>
          <w:sz w:val="26"/>
          <w:szCs w:val="26"/>
          <w:rtl/>
        </w:rPr>
        <w:t xml:space="preserve">15.1  حصرية التعبئة</w:t>
      </w:r>
    </w:p>
    <w:p>
      <w:pPr>
        <w:pStyle w:val="ListParagraph"/>
        <w:numPr>
          <w:ilvl w:val="0"/>
          <w:numId w:val="2"/>
        </w:numPr>
        <w:bidi/>
        <w:spacing w:after="40" w:before="40" w:line="320"/>
        <w:jc w:val="both"/>
      </w:pPr>
      <w:r>
        <w:rPr>
          <w:rFonts w:ascii="Cairo" w:cs="Cairo" w:eastAsia="Cairo" w:hAnsi="Cairo"/>
          <w:sz w:val="22"/>
          <w:szCs w:val="22"/>
          <w:rtl/>
        </w:rPr>
        <w:t xml:space="preserve">تُعبَّأ أسطوانات EzyGas حصرًا في منشآت تعبئةٍ معتمدةٍ وموقَّعةٍ من إيزي جاز ومن الجهات التنظيمية المختصة في جمهورية مصر العربية.</w:t>
      </w:r>
    </w:p>
    <w:p>
      <w:pPr>
        <w:pStyle w:val="ListParagraph"/>
        <w:numPr>
          <w:ilvl w:val="0"/>
          <w:numId w:val="2"/>
        </w:numPr>
        <w:bidi/>
        <w:spacing w:after="40" w:before="40" w:line="320"/>
        <w:jc w:val="both"/>
      </w:pPr>
      <w:r>
        <w:rPr>
          <w:rFonts w:ascii="Cairo" w:cs="Cairo" w:eastAsia="Cairo" w:hAnsi="Cairo"/>
          <w:sz w:val="22"/>
          <w:szCs w:val="22"/>
          <w:rtl/>
        </w:rPr>
        <w:t xml:space="preserve">يُحظَر على الموزع ملء أو إعادة ملء أيّ أسطوانةٍ بنفسه أو عبر طرفٍ ثالثٍ غير معتمد تحت أيّ ظرفٍ من الظروف.</w:t>
      </w:r>
    </w:p>
    <w:p>
      <w:pPr>
        <w:pStyle w:val="ListParagraph"/>
        <w:numPr>
          <w:ilvl w:val="0"/>
          <w:numId w:val="2"/>
        </w:numPr>
        <w:bidi/>
        <w:spacing w:after="40" w:before="40" w:line="320"/>
        <w:jc w:val="both"/>
      </w:pPr>
      <w:r>
        <w:rPr>
          <w:rFonts w:ascii="Cairo" w:cs="Cairo" w:eastAsia="Cairo" w:hAnsi="Cairo"/>
          <w:sz w:val="22"/>
          <w:szCs w:val="22"/>
          <w:rtl/>
        </w:rPr>
        <w:t xml:space="preserve">يُعدّ أيّ إخلالٍ بحصرية التعبئة إخلالًا جوهريًّا بالغ الخطورة، ويستوجب الإنهاء الفوري وفقًا للمادة الثالثة والعشرين، علاوةً على المسؤولية الجنائية وفقًا للقوانين المعمول بها.</w:t>
      </w:r>
    </w:p>
    <w:p>
      <w:pPr>
        <w:pStyle w:val="Heading2"/>
        <w:bidi/>
        <w:spacing w:after="140" w:before="260"/>
        <w:jc w:val="right"/>
      </w:pPr>
      <w:r>
        <w:rPr>
          <w:rFonts w:ascii="Cairo" w:cs="Cairo" w:eastAsia="Cairo" w:hAnsi="Cairo"/>
          <w:b/>
          <w:bCs/>
          <w:color w:val="1E7A3C"/>
          <w:sz w:val="26"/>
          <w:szCs w:val="26"/>
          <w:rtl/>
        </w:rPr>
        <w:t xml:space="preserve">15.2  التسليم للتعبئة والاستلام بعد التعبئة</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بإعادة الأسطوانات الفارغة إلى نقطة التعبئة المعتمدة خلال (72) ساعة من وصول حالة (Empty) إلى نصاب التسليم المعتمد.</w:t>
      </w:r>
    </w:p>
    <w:p>
      <w:pPr>
        <w:pStyle w:val="ListParagraph"/>
        <w:numPr>
          <w:ilvl w:val="0"/>
          <w:numId w:val="2"/>
        </w:numPr>
        <w:bidi/>
        <w:spacing w:after="40" w:before="40" w:line="320"/>
        <w:jc w:val="both"/>
      </w:pPr>
      <w:r>
        <w:rPr>
          <w:rFonts w:ascii="Cairo" w:cs="Cairo" w:eastAsia="Cairo" w:hAnsi="Cairo"/>
          <w:sz w:val="22"/>
          <w:szCs w:val="22"/>
          <w:rtl/>
        </w:rPr>
        <w:t xml:space="preserve">يستلم الموزع الأسطوانات الممتلئة وفقًا لتوقيتاتٍ مُجدوَلةٍ عبر المنصة التقنية، ويلتزم باستلامها خلال (24) ساعة من الإخطار.</w:t>
      </w:r>
    </w:p>
    <w:p>
      <w:pPr>
        <w:pStyle w:val="ListParagraph"/>
        <w:numPr>
          <w:ilvl w:val="0"/>
          <w:numId w:val="2"/>
        </w:numPr>
        <w:bidi/>
        <w:spacing w:after="40" w:before="40" w:line="320"/>
        <w:jc w:val="both"/>
      </w:pPr>
      <w:r>
        <w:rPr>
          <w:rFonts w:ascii="Cairo" w:cs="Cairo" w:eastAsia="Cairo" w:hAnsi="Cairo"/>
          <w:sz w:val="22"/>
          <w:szCs w:val="22"/>
          <w:rtl/>
        </w:rPr>
        <w:t xml:space="preserve">يُحفَظ لكل عملية تعبئةٍ سجلٌّ رقميٌّ متضمِّنٌ: رمز QR، وزن الأسطوانة الفارغة (Tare Weight)، وزن الأسطوانة الممتلئة، تاريخ ووقت التعبئة، واسم المنشأة.</w:t>
      </w:r>
    </w:p>
    <w:p>
      <w:pPr>
        <w:pStyle w:val="Heading2"/>
        <w:bidi/>
        <w:spacing w:after="140" w:before="260"/>
        <w:jc w:val="right"/>
      </w:pPr>
      <w:r>
        <w:rPr>
          <w:rFonts w:ascii="Cairo" w:cs="Cairo" w:eastAsia="Cairo" w:hAnsi="Cairo"/>
          <w:b/>
          <w:bCs/>
          <w:color w:val="1E7A3C"/>
          <w:sz w:val="26"/>
          <w:szCs w:val="26"/>
          <w:rtl/>
        </w:rPr>
        <w:t xml:space="preserve">15.3  التسهيلات الائتمانية المرتبطة بالتعبئة (Revolving Refill Credit Line)</w:t>
      </w:r>
    </w:p>
    <w:p>
      <w:pPr>
        <w:pStyle w:val="ListParagraph"/>
        <w:numPr>
          <w:ilvl w:val="0"/>
          <w:numId w:val="2"/>
        </w:numPr>
        <w:bidi/>
        <w:spacing w:after="40" w:before="40" w:line="320"/>
        <w:jc w:val="both"/>
      </w:pPr>
      <w:r>
        <w:rPr>
          <w:rFonts w:ascii="Cairo" w:cs="Cairo" w:eastAsia="Cairo" w:hAnsi="Cairo"/>
          <w:sz w:val="22"/>
          <w:szCs w:val="22"/>
          <w:rtl/>
        </w:rPr>
        <w:t xml:space="preserve">تُخصِّص إيزي جاز للموزع خط ائتمانٍ دوّارٍ (Revolving Credit Line) لتمويل إعادة التعبئة على أساس حجم نشر الأسطوانات، بحدٍّ أقصى يُحدَّد وفقًا للفئة وتاريخ الأداء.</w:t>
      </w:r>
    </w:p>
    <w:p>
      <w:pPr>
        <w:pStyle w:val="ListParagraph"/>
        <w:numPr>
          <w:ilvl w:val="0"/>
          <w:numId w:val="2"/>
        </w:numPr>
        <w:bidi/>
        <w:spacing w:after="40" w:before="40" w:line="320"/>
        <w:jc w:val="both"/>
      </w:pPr>
      <w:r>
        <w:rPr>
          <w:rFonts w:ascii="Cairo" w:cs="Cairo" w:eastAsia="Cairo" w:hAnsi="Cairo"/>
          <w:sz w:val="22"/>
          <w:szCs w:val="22"/>
          <w:rtl/>
        </w:rPr>
        <w:t xml:space="preserve">يُسدَّد الخط الائتماني من مستحقات الموزع اللاحقة وتسويات رسوم التوصيل، وفقًا لجدولٍ شفّافٍ يُدار عبر المنصة التقنية.</w:t>
      </w:r>
    </w:p>
    <w:p>
      <w:pPr>
        <w:pStyle w:val="ListParagraph"/>
        <w:numPr>
          <w:ilvl w:val="0"/>
          <w:numId w:val="2"/>
        </w:numPr>
        <w:bidi/>
        <w:spacing w:after="40" w:before="40" w:line="320"/>
        <w:jc w:val="both"/>
      </w:pPr>
      <w:r>
        <w:rPr>
          <w:rFonts w:ascii="Cairo" w:cs="Cairo" w:eastAsia="Cairo" w:hAnsi="Cairo"/>
          <w:sz w:val="22"/>
          <w:szCs w:val="22"/>
          <w:rtl/>
        </w:rPr>
        <w:t xml:space="preserve">لا يُستخدَم الخط الائتماني إلا لتمويل أنشطة التعبئة ضمن الشبكة، ولا يُحوَّل لأيّ غرضٍ آخر.</w:t>
      </w:r>
    </w:p>
    <w:p>
      <w:pPr>
        <w:pStyle w:val="Heading2"/>
        <w:bidi/>
        <w:spacing w:after="140" w:before="260"/>
        <w:jc w:val="right"/>
      </w:pPr>
      <w:r>
        <w:rPr>
          <w:rFonts w:ascii="Cairo" w:cs="Cairo" w:eastAsia="Cairo" w:hAnsi="Cairo"/>
          <w:b/>
          <w:bCs/>
          <w:color w:val="1E7A3C"/>
          <w:sz w:val="26"/>
          <w:szCs w:val="26"/>
          <w:rtl/>
        </w:rPr>
        <w:t xml:space="preserve">15.4  احتياطي الغاز المضمون</w:t>
      </w:r>
    </w:p>
    <w:p>
      <w:pPr>
        <w:pStyle w:val="ListParagraph"/>
        <w:numPr>
          <w:ilvl w:val="0"/>
          <w:numId w:val="2"/>
        </w:numPr>
        <w:bidi/>
        <w:spacing w:after="40" w:before="40" w:line="320"/>
        <w:jc w:val="both"/>
      </w:pPr>
      <w:r>
        <w:rPr>
          <w:rFonts w:ascii="Cairo" w:cs="Cairo" w:eastAsia="Cairo" w:hAnsi="Cairo"/>
          <w:sz w:val="22"/>
          <w:szCs w:val="22"/>
          <w:rtl/>
        </w:rPr>
        <w:t xml:space="preserve">تعتمد إيزي جاز على تسهيلاتٍ قائمةٍ مع شريكها الصناعي (Treegas) ومع شركاء توريد الغاز (Petrogas / Butagasco) لضمان توفُّر احتياطيٍّ من الغاز كافٍ لتلبية طلب الموزعين.</w:t>
      </w:r>
    </w:p>
    <w:p>
      <w:pPr>
        <w:pStyle w:val="ListParagraph"/>
        <w:numPr>
          <w:ilvl w:val="0"/>
          <w:numId w:val="2"/>
        </w:numPr>
        <w:bidi/>
        <w:spacing w:after="40" w:before="40" w:line="320"/>
        <w:jc w:val="both"/>
      </w:pPr>
      <w:r>
        <w:rPr>
          <w:rFonts w:ascii="Cairo" w:cs="Cairo" w:eastAsia="Cairo" w:hAnsi="Cairo"/>
          <w:sz w:val="22"/>
          <w:szCs w:val="22"/>
          <w:rtl/>
        </w:rPr>
        <w:t xml:space="preserve">في حال انخفاض الاحتياطي تحت مستوى تشغيلي حرج، تُخطِر إيزي جاز الموزعين خلال (24) ساعة، وتُطبَّق إجراءات المادة السابعة بشأن ضمان الحد الأدنى للتوريد.</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السادسة عشرة — المنصة التقنية والبيانات</w:t>
      </w:r>
    </w:p>
    <w:p>
      <w:pPr>
        <w:pStyle w:val="Heading2"/>
        <w:bidi/>
        <w:spacing w:after="140" w:before="260"/>
        <w:jc w:val="right"/>
      </w:pPr>
      <w:r>
        <w:rPr>
          <w:rFonts w:ascii="Cairo" w:cs="Cairo" w:eastAsia="Cairo" w:hAnsi="Cairo"/>
          <w:b/>
          <w:bCs/>
          <w:color w:val="1E7A3C"/>
          <w:sz w:val="26"/>
          <w:szCs w:val="26"/>
          <w:rtl/>
        </w:rPr>
        <w:t xml:space="preserve">16.1  ملكية المنصة التقنية</w:t>
      </w:r>
    </w:p>
    <w:p>
      <w:pPr>
        <w:pStyle w:val="ListParagraph"/>
        <w:numPr>
          <w:ilvl w:val="0"/>
          <w:numId w:val="2"/>
        </w:numPr>
        <w:bidi/>
        <w:spacing w:after="40" w:before="40" w:line="320"/>
        <w:jc w:val="both"/>
      </w:pPr>
      <w:r>
        <w:rPr>
          <w:rFonts w:ascii="Cairo" w:cs="Cairo" w:eastAsia="Cairo" w:hAnsi="Cairo"/>
          <w:sz w:val="22"/>
          <w:szCs w:val="22"/>
          <w:rtl/>
        </w:rPr>
        <w:t xml:space="preserve">تعود ملكية المنصة التقنية بالكامل — بما فيها الشيفرة المصدرية والواجهات والخوارزميات وبيانات العلامة — إلى إيزي جاز.</w:t>
      </w:r>
    </w:p>
    <w:p>
      <w:pPr>
        <w:pStyle w:val="ListParagraph"/>
        <w:numPr>
          <w:ilvl w:val="0"/>
          <w:numId w:val="2"/>
        </w:numPr>
        <w:bidi/>
        <w:spacing w:after="40" w:before="40" w:line="320"/>
        <w:jc w:val="both"/>
      </w:pPr>
      <w:r>
        <w:rPr>
          <w:rFonts w:ascii="Cairo" w:cs="Cairo" w:eastAsia="Cairo" w:hAnsi="Cairo"/>
          <w:sz w:val="22"/>
          <w:szCs w:val="22"/>
          <w:rtl/>
        </w:rPr>
        <w:t xml:space="preserve">يُمنَح الموزع حق استخدامٍ غير حصريٍّ وغير قابلٍ للتنازل للمنصة التقنية طوال مدة العقد، في حدود نطاقه الجغرافي وفئته.</w:t>
      </w:r>
    </w:p>
    <w:p>
      <w:pPr>
        <w:pStyle w:val="Heading2"/>
        <w:bidi/>
        <w:spacing w:after="140" w:before="260"/>
        <w:jc w:val="right"/>
      </w:pPr>
      <w:r>
        <w:rPr>
          <w:rFonts w:ascii="Cairo" w:cs="Cairo" w:eastAsia="Cairo" w:hAnsi="Cairo"/>
          <w:b/>
          <w:bCs/>
          <w:color w:val="1E7A3C"/>
          <w:sz w:val="26"/>
          <w:szCs w:val="26"/>
          <w:rtl/>
        </w:rPr>
        <w:t xml:space="preserve">16.2  بيانات العملاء والملكية</w:t>
      </w:r>
    </w:p>
    <w:p>
      <w:pPr>
        <w:pStyle w:val="ListParagraph"/>
        <w:numPr>
          <w:ilvl w:val="0"/>
          <w:numId w:val="2"/>
        </w:numPr>
        <w:bidi/>
        <w:spacing w:after="40" w:before="40" w:line="320"/>
        <w:jc w:val="both"/>
      </w:pPr>
      <w:r>
        <w:rPr>
          <w:rFonts w:ascii="Cairo" w:cs="Cairo" w:eastAsia="Cairo" w:hAnsi="Cairo"/>
          <w:sz w:val="22"/>
          <w:szCs w:val="22"/>
          <w:rtl/>
        </w:rPr>
        <w:t xml:space="preserve">تُعدّ بيانات العملاء النهائيين الواردة عبر المنصة التقنية ملكًا مشتركًا للطرفين (Joint Data Ownership)، ويُتاح للموزع الوصول الكامل إلى بيانات عملاء نطاقه.</w:t>
      </w:r>
    </w:p>
    <w:p>
      <w:pPr>
        <w:pStyle w:val="ListParagraph"/>
        <w:numPr>
          <w:ilvl w:val="0"/>
          <w:numId w:val="2"/>
        </w:numPr>
        <w:bidi/>
        <w:spacing w:after="40" w:before="40" w:line="320"/>
        <w:jc w:val="both"/>
      </w:pPr>
      <w:r>
        <w:rPr>
          <w:rFonts w:ascii="Cairo" w:cs="Cairo" w:eastAsia="Cairo" w:hAnsi="Cairo"/>
          <w:sz w:val="22"/>
          <w:szCs w:val="22"/>
          <w:rtl/>
        </w:rPr>
        <w:t xml:space="preserve">في حال إنهاء العقد، يحقّ للموزع استخراج بياناته التشغيلية وسجلاته المالية وقائمة عملائه خلال (30) يومًا من الإنهاء، في صيغةٍ قابلةٍ للقراءة الآلية.</w:t>
      </w:r>
    </w:p>
    <w:p>
      <w:pPr>
        <w:pStyle w:val="ListParagraph"/>
        <w:numPr>
          <w:ilvl w:val="0"/>
          <w:numId w:val="2"/>
        </w:numPr>
        <w:bidi/>
        <w:spacing w:after="40" w:before="40" w:line="320"/>
        <w:jc w:val="both"/>
      </w:pPr>
      <w:r>
        <w:rPr>
          <w:rFonts w:ascii="Cairo" w:cs="Cairo" w:eastAsia="Cairo" w:hAnsi="Cairo"/>
          <w:sz w:val="22"/>
          <w:szCs w:val="22"/>
          <w:rtl/>
        </w:rPr>
        <w:t xml:space="preserve">لا يحقّ لإيزي جاز استخدام بيانات عملاء الموزع بعد إنهاء العقد لأغراض المنافسة المباشرة ضده لمدة (24) شهرًا، إلا بموافقته الكتابية.</w:t>
      </w:r>
    </w:p>
    <w:p>
      <w:pPr>
        <w:pStyle w:val="Heading2"/>
        <w:bidi/>
        <w:spacing w:after="140" w:before="260"/>
        <w:jc w:val="right"/>
      </w:pPr>
      <w:r>
        <w:rPr>
          <w:rFonts w:ascii="Cairo" w:cs="Cairo" w:eastAsia="Cairo" w:hAnsi="Cairo"/>
          <w:b/>
          <w:bCs/>
          <w:color w:val="1E7A3C"/>
          <w:sz w:val="26"/>
          <w:szCs w:val="26"/>
          <w:rtl/>
        </w:rPr>
        <w:t xml:space="preserve">16.3  حماية البيانات</w:t>
      </w:r>
    </w:p>
    <w:p>
      <w:pPr>
        <w:pStyle w:val="ListParagraph"/>
        <w:numPr>
          <w:ilvl w:val="0"/>
          <w:numId w:val="2"/>
        </w:numPr>
        <w:bidi/>
        <w:spacing w:after="40" w:before="40" w:line="320"/>
        <w:jc w:val="both"/>
      </w:pPr>
      <w:r>
        <w:rPr>
          <w:rFonts w:ascii="Cairo" w:cs="Cairo" w:eastAsia="Cairo" w:hAnsi="Cairo"/>
          <w:sz w:val="22"/>
          <w:szCs w:val="22"/>
          <w:rtl/>
        </w:rPr>
        <w:t xml:space="preserve">يلتزم الطرفان بالامتثال لقانون حماية البيانات الشخصية المصري رقم 151 لسنة 2020 وتعديلاته، وأفضل المعايير الدولية ذات الصلة (GDPR حيثما ينطبق).</w:t>
      </w:r>
    </w:p>
    <w:p>
      <w:pPr>
        <w:pStyle w:val="ListParagraph"/>
        <w:numPr>
          <w:ilvl w:val="0"/>
          <w:numId w:val="2"/>
        </w:numPr>
        <w:bidi/>
        <w:spacing w:after="40" w:before="40" w:line="320"/>
        <w:jc w:val="both"/>
      </w:pPr>
      <w:r>
        <w:rPr>
          <w:rFonts w:ascii="Cairo" w:cs="Cairo" w:eastAsia="Cairo" w:hAnsi="Cairo"/>
          <w:sz w:val="22"/>
          <w:szCs w:val="22"/>
          <w:rtl/>
        </w:rPr>
        <w:t xml:space="preserve">لا يجوز لأيّ طرفٍ إتاحة بيانات العملاء لأطرافٍ ثالثةٍ دون موافقةٍ كتابيةٍ مسبقةٍ من الطرف الآخر، ماعدا الحالات التي يفرضها القانون.</w:t>
      </w:r>
    </w:p>
    <w:p>
      <w:pPr>
        <w:pStyle w:val="ListParagraph"/>
        <w:numPr>
          <w:ilvl w:val="0"/>
          <w:numId w:val="2"/>
        </w:numPr>
        <w:bidi/>
        <w:spacing w:after="40" w:before="40" w:line="320"/>
        <w:jc w:val="both"/>
      </w:pPr>
      <w:r>
        <w:rPr>
          <w:rFonts w:ascii="Cairo" w:cs="Cairo" w:eastAsia="Cairo" w:hAnsi="Cairo"/>
          <w:sz w:val="22"/>
          <w:szCs w:val="22"/>
          <w:rtl/>
        </w:rPr>
        <w:t xml:space="preserve">أيّ اختراقٍ أمنيٍّ أو تسرُّبٍ للبيانات يخضع لالتزام الإبلاغ الفوري خلال (72) ساعة من العلم به.</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السابعة عشرة — السرية</w:t>
      </w:r>
    </w:p>
    <w:p>
      <w:pPr>
        <w:pStyle w:val="ListParagraph"/>
        <w:numPr>
          <w:ilvl w:val="0"/>
          <w:numId w:val="2"/>
        </w:numPr>
        <w:bidi/>
        <w:spacing w:after="40" w:before="40" w:line="320"/>
        <w:jc w:val="both"/>
      </w:pPr>
      <w:r>
        <w:rPr>
          <w:rFonts w:ascii="Cairo" w:cs="Cairo" w:eastAsia="Cairo" w:hAnsi="Cairo"/>
          <w:sz w:val="22"/>
          <w:szCs w:val="22"/>
          <w:rtl/>
        </w:rPr>
        <w:t xml:space="preserve">يلتزم كل طرفٍ بالحفاظ على سرية جميع المعلومات التي يحصل عليها من الطرف الآخر أثناء تنفيذ العقد، سواء أكانت تجارية أم مالية أم تقنية أم تتعلق بالعملاء.</w:t>
      </w:r>
    </w:p>
    <w:p>
      <w:pPr>
        <w:pStyle w:val="ListParagraph"/>
        <w:numPr>
          <w:ilvl w:val="0"/>
          <w:numId w:val="2"/>
        </w:numPr>
        <w:bidi/>
        <w:spacing w:after="40" w:before="40" w:line="320"/>
        <w:jc w:val="both"/>
      </w:pPr>
      <w:r>
        <w:rPr>
          <w:rFonts w:ascii="Cairo" w:cs="Cairo" w:eastAsia="Cairo" w:hAnsi="Cairo"/>
          <w:sz w:val="22"/>
          <w:szCs w:val="22"/>
          <w:rtl/>
        </w:rPr>
        <w:t xml:space="preserve">يستمر التزام السرية سارِيًا طوال مدة العقد ولمدة خمس (5) سنواتٍ من انتهائه أو إنهائه.</w:t>
      </w:r>
    </w:p>
    <w:p>
      <w:pPr>
        <w:pStyle w:val="ListParagraph"/>
        <w:numPr>
          <w:ilvl w:val="0"/>
          <w:numId w:val="2"/>
        </w:numPr>
        <w:bidi/>
        <w:spacing w:after="40" w:before="40" w:line="320"/>
        <w:jc w:val="both"/>
      </w:pPr>
      <w:r>
        <w:rPr>
          <w:rFonts w:ascii="Cairo" w:cs="Cairo" w:eastAsia="Cairo" w:hAnsi="Cairo"/>
          <w:sz w:val="22"/>
          <w:szCs w:val="22"/>
          <w:rtl/>
        </w:rPr>
        <w:t xml:space="preserve">يُستثنى من السرية: (أ) المعلومات العامة، (ب) المعلومات التي يثبت الطرف المستقبِل أنها كانت لديه قبل العقد، (ج) المعلومات المكشوف عنها بموجب أمرٍ قضائيٍّ أو تنظيمي.</w:t>
      </w:r>
    </w:p>
    <w:p>
      <w:pPr>
        <w:pStyle w:val="ListParagraph"/>
        <w:numPr>
          <w:ilvl w:val="0"/>
          <w:numId w:val="2"/>
        </w:numPr>
        <w:bidi/>
        <w:spacing w:after="40" w:before="40" w:line="320"/>
        <w:jc w:val="both"/>
      </w:pPr>
      <w:r>
        <w:rPr>
          <w:rFonts w:ascii="Cairo" w:cs="Cairo" w:eastAsia="Cairo" w:hAnsi="Cairo"/>
          <w:sz w:val="22"/>
          <w:szCs w:val="22"/>
          <w:rtl/>
        </w:rPr>
        <w:t xml:space="preserve">أيّ إخلالٍ بالتزام السرية يُفعِّل تعويضاتٍ لا تقلّ عن المبالغ المنصوص عليها بالملحق (هـ)، علاوةً على المسؤولية عن الأضرار الفعلية.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الثامنة عشرة — الملكية الفكرية والعلامة التجارية</w:t>
      </w:r>
    </w:p>
    <w:p>
      <w:pPr>
        <w:pStyle w:val="ListParagraph"/>
        <w:numPr>
          <w:ilvl w:val="0"/>
          <w:numId w:val="2"/>
        </w:numPr>
        <w:bidi/>
        <w:spacing w:after="40" w:before="40" w:line="320"/>
        <w:jc w:val="both"/>
      </w:pPr>
      <w:r>
        <w:rPr>
          <w:rFonts w:ascii="Cairo" w:cs="Cairo" w:eastAsia="Cairo" w:hAnsi="Cairo"/>
          <w:sz w:val="22"/>
          <w:szCs w:val="22"/>
          <w:rtl/>
        </w:rPr>
        <w:t xml:space="preserve">العلامة التجارية EzyGas والشعار والعلامات التبعية كلها ملكٌ حصريٌّ لإيزي جاز.</w:t>
      </w:r>
    </w:p>
    <w:p>
      <w:pPr>
        <w:pStyle w:val="ListParagraph"/>
        <w:numPr>
          <w:ilvl w:val="0"/>
          <w:numId w:val="2"/>
        </w:numPr>
        <w:bidi/>
        <w:spacing w:after="40" w:before="40" w:line="320"/>
        <w:jc w:val="both"/>
      </w:pPr>
      <w:r>
        <w:rPr>
          <w:rFonts w:ascii="Cairo" w:cs="Cairo" w:eastAsia="Cairo" w:hAnsi="Cairo"/>
          <w:sz w:val="22"/>
          <w:szCs w:val="22"/>
          <w:rtl/>
        </w:rPr>
        <w:t xml:space="preserve">يُرخَّص للموزع باستخدام العلامة حصرًا لأغراض ممارسة نشاطه بوصفه موزعًا معتمدًا طوال مدة العقد، ووفق الإرشادات المعتمدة في دليل العلامة (Brand Guidelines).</w:t>
      </w:r>
    </w:p>
    <w:p>
      <w:pPr>
        <w:pStyle w:val="ListParagraph"/>
        <w:numPr>
          <w:ilvl w:val="0"/>
          <w:numId w:val="2"/>
        </w:numPr>
        <w:bidi/>
        <w:spacing w:after="40" w:before="40" w:line="320"/>
        <w:jc w:val="both"/>
      </w:pPr>
      <w:r>
        <w:rPr>
          <w:rFonts w:ascii="Cairo" w:cs="Cairo" w:eastAsia="Cairo" w:hAnsi="Cairo"/>
          <w:sz w:val="22"/>
          <w:szCs w:val="22"/>
          <w:rtl/>
        </w:rPr>
        <w:t xml:space="preserve">لا يجوز للموزع تسجيل أيّ علامةٍ مشابهةٍ أو مكمِّلةٍ أو نطاقٍ إلكترونيٍّ يحوي اسم EzyGas أو مشتقاته في أيّ دولة.</w:t>
      </w:r>
    </w:p>
    <w:p>
      <w:pPr>
        <w:pStyle w:val="ListParagraph"/>
        <w:numPr>
          <w:ilvl w:val="0"/>
          <w:numId w:val="2"/>
        </w:numPr>
        <w:bidi/>
        <w:spacing w:after="40" w:before="40" w:line="320"/>
        <w:jc w:val="both"/>
      </w:pPr>
      <w:r>
        <w:rPr>
          <w:rFonts w:ascii="Cairo" w:cs="Cairo" w:eastAsia="Cairo" w:hAnsi="Cairo"/>
          <w:sz w:val="22"/>
          <w:szCs w:val="22"/>
          <w:rtl/>
        </w:rPr>
        <w:t xml:space="preserve">تزول كل حقوق الاستخدام الممنوحة فور إنهاء العقد، ويلتزم الموزع بإزالة العلامة من مقرّه ومركباته ووسائله التسويقية خلال (30) يومًا من الإنهاء.</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التاسعة عشرة — التأمين والمسؤولية</w:t>
      </w:r>
    </w:p>
    <w:p>
      <w:pPr>
        <w:pStyle w:val="Heading2"/>
        <w:bidi/>
        <w:spacing w:after="140" w:before="260"/>
        <w:jc w:val="right"/>
      </w:pPr>
      <w:r>
        <w:rPr>
          <w:rFonts w:ascii="Cairo" w:cs="Cairo" w:eastAsia="Cairo" w:hAnsi="Cairo"/>
          <w:b/>
          <w:bCs/>
          <w:color w:val="1E7A3C"/>
          <w:sz w:val="26"/>
          <w:szCs w:val="26"/>
          <w:rtl/>
        </w:rPr>
        <w:t xml:space="preserve">19.1  التأمين الإلزامي للموزع</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 على نفقته الخاصة — بالحصول على بوالص تأمين سارية طوال مدة العقد تشمل على الأقل:</w:t>
      </w:r>
    </w:p>
    <w:p>
      <w:pPr>
        <w:pStyle w:val="ListParagraph"/>
        <w:numPr>
          <w:ilvl w:val="0"/>
          <w:numId w:val="3"/>
        </w:numPr>
        <w:bidi/>
        <w:spacing w:after="40" w:before="40" w:line="320"/>
        <w:jc w:val="both"/>
      </w:pPr>
      <w:r>
        <w:rPr>
          <w:rFonts w:ascii="Cairo" w:cs="Cairo" w:eastAsia="Cairo" w:hAnsi="Cairo"/>
          <w:sz w:val="22"/>
          <w:szCs w:val="22"/>
          <w:rtl/>
        </w:rPr>
        <w:t xml:space="preserve">تأمين المسؤولية المدنية تجاه الغير بحدٍّ أدنى خمسة ملايين جنيه مصري (5,000,000 ج.م) لكل حادث.</w:t>
      </w:r>
    </w:p>
    <w:p>
      <w:pPr>
        <w:pStyle w:val="ListParagraph"/>
        <w:numPr>
          <w:ilvl w:val="0"/>
          <w:numId w:val="3"/>
        </w:numPr>
        <w:bidi/>
        <w:spacing w:after="40" w:before="40" w:line="320"/>
        <w:jc w:val="both"/>
      </w:pPr>
      <w:r>
        <w:rPr>
          <w:rFonts w:ascii="Cairo" w:cs="Cairo" w:eastAsia="Cairo" w:hAnsi="Cairo"/>
          <w:sz w:val="22"/>
          <w:szCs w:val="22"/>
          <w:rtl/>
        </w:rPr>
        <w:t xml:space="preserve">تأمين مخزون الأسطوانات ضد السرقة والحريق والكوارث الطبيعية.</w:t>
      </w:r>
    </w:p>
    <w:p>
      <w:pPr>
        <w:pStyle w:val="ListParagraph"/>
        <w:numPr>
          <w:ilvl w:val="0"/>
          <w:numId w:val="3"/>
        </w:numPr>
        <w:bidi/>
        <w:spacing w:after="40" w:before="40" w:line="320"/>
        <w:jc w:val="both"/>
      </w:pPr>
      <w:r>
        <w:rPr>
          <w:rFonts w:ascii="Cairo" w:cs="Cairo" w:eastAsia="Cairo" w:hAnsi="Cairo"/>
          <w:sz w:val="22"/>
          <w:szCs w:val="22"/>
          <w:rtl/>
        </w:rPr>
        <w:t xml:space="preserve">تأمين المركبات المستخدمة في نقل الأسطوانات.</w:t>
      </w:r>
    </w:p>
    <w:p>
      <w:pPr>
        <w:pStyle w:val="ListParagraph"/>
        <w:numPr>
          <w:ilvl w:val="0"/>
          <w:numId w:val="3"/>
        </w:numPr>
        <w:bidi/>
        <w:spacing w:after="40" w:before="40" w:line="320"/>
        <w:jc w:val="both"/>
      </w:pPr>
      <w:r>
        <w:rPr>
          <w:rFonts w:ascii="Cairo" w:cs="Cairo" w:eastAsia="Cairo" w:hAnsi="Cairo"/>
          <w:sz w:val="22"/>
          <w:szCs w:val="22"/>
          <w:rtl/>
        </w:rPr>
        <w:t xml:space="preserve">تأمين العاملين (التأمينات الاجتماعية + إصابات العمل).</w:t>
      </w:r>
    </w:p>
    <w:p>
      <w:pPr>
        <w:pStyle w:val="ListParagraph"/>
        <w:numPr>
          <w:ilvl w:val="0"/>
          <w:numId w:val="2"/>
        </w:numPr>
        <w:bidi/>
        <w:spacing w:after="40" w:before="40" w:line="320"/>
        <w:jc w:val="both"/>
      </w:pPr>
      <w:r>
        <w:rPr>
          <w:rFonts w:ascii="Cairo" w:cs="Cairo" w:eastAsia="Cairo" w:hAnsi="Cairo"/>
          <w:sz w:val="22"/>
          <w:szCs w:val="22"/>
          <w:rtl/>
        </w:rPr>
        <w:t xml:space="preserve">تقديم نسخٍ من بوالص التأمين السارية إلى إيزي جاز قبل بدء التشغيل الفعلي، وعند التجديد السنوي.</w:t>
      </w:r>
    </w:p>
    <w:p>
      <w:pPr>
        <w:pStyle w:val="Heading2"/>
        <w:bidi/>
        <w:spacing w:after="140" w:before="260"/>
        <w:jc w:val="right"/>
      </w:pPr>
      <w:r>
        <w:rPr>
          <w:rFonts w:ascii="Cairo" w:cs="Cairo" w:eastAsia="Cairo" w:hAnsi="Cairo"/>
          <w:b/>
          <w:bCs/>
          <w:color w:val="1E7A3C"/>
          <w:sz w:val="26"/>
          <w:szCs w:val="26"/>
          <w:rtl/>
        </w:rPr>
        <w:t xml:space="preserve">19.2  حدود المسؤولية</w:t>
      </w:r>
    </w:p>
    <w:p>
      <w:pPr>
        <w:pStyle w:val="ListParagraph"/>
        <w:numPr>
          <w:ilvl w:val="0"/>
          <w:numId w:val="2"/>
        </w:numPr>
        <w:bidi/>
        <w:spacing w:after="40" w:before="40" w:line="320"/>
        <w:jc w:val="both"/>
      </w:pPr>
      <w:r>
        <w:rPr>
          <w:rFonts w:ascii="Cairo" w:cs="Cairo" w:eastAsia="Cairo" w:hAnsi="Cairo"/>
          <w:sz w:val="22"/>
          <w:szCs w:val="22"/>
          <w:rtl/>
        </w:rPr>
        <w:t xml:space="preserve">تكون مسؤولية الموزع كاملةً عن أيّ أضرارٍ تنشأ عن سوء استخدامه أو إهماله أو مخالفته لإجراءات السلامة.</w:t>
      </w:r>
    </w:p>
    <w:p>
      <w:pPr>
        <w:pStyle w:val="ListParagraph"/>
        <w:numPr>
          <w:ilvl w:val="0"/>
          <w:numId w:val="2"/>
        </w:numPr>
        <w:bidi/>
        <w:spacing w:after="40" w:before="40" w:line="320"/>
        <w:jc w:val="both"/>
      </w:pPr>
      <w:r>
        <w:rPr>
          <w:rFonts w:ascii="Cairo" w:cs="Cairo" w:eastAsia="Cairo" w:hAnsi="Cairo"/>
          <w:sz w:val="22"/>
          <w:szCs w:val="22"/>
          <w:rtl/>
        </w:rPr>
        <w:t xml:space="preserve">تكون مسؤولية إيزي جاز محدودةً بالقيمة الفعلية للإخلال التعاقدي المُثبَت، ولا تشمل الأضرار التبعية أو الفوات في الربح إلا في حالات التقصير الجسيم أو الغش.</w:t>
      </w:r>
    </w:p>
    <w:p>
      <w:pPr>
        <w:pStyle w:val="ListParagraph"/>
        <w:numPr>
          <w:ilvl w:val="0"/>
          <w:numId w:val="2"/>
        </w:numPr>
        <w:bidi/>
        <w:spacing w:after="40" w:before="40" w:line="320"/>
        <w:jc w:val="both"/>
      </w:pPr>
      <w:r>
        <w:rPr>
          <w:rFonts w:ascii="Cairo" w:cs="Cairo" w:eastAsia="Cairo" w:hAnsi="Cairo"/>
          <w:sz w:val="22"/>
          <w:szCs w:val="22"/>
          <w:rtl/>
        </w:rPr>
        <w:t xml:space="preserve">لا يُعفَى أيّ طرفٍ من المسؤولية في حالات التعدِّي المتعمَّد أو إخلال حقوق الغير.</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العشرون — نظام التصعيد المتدرج للإنفاذ</w:t>
      </w:r>
    </w:p>
    <w:p>
      <w:pPr>
        <w:bidi/>
        <w:spacing w:after="80" w:before="80" w:line="320"/>
        <w:jc w:val="both"/>
      </w:pPr>
      <w:r>
        <w:rPr>
          <w:rFonts w:ascii="Cairo" w:cs="Cairo" w:eastAsia="Cairo" w:hAnsi="Cairo"/>
          <w:b/>
          <w:bCs/>
          <w:color w:val="000000"/>
          <w:sz w:val="22"/>
          <w:szCs w:val="22"/>
          <w:rtl/>
        </w:rPr>
        <w:t xml:space="preserve">تُطبَّق عقوبات الإخلال بهذا العقد وفق نظامٍ متدرِّجٍ من ثلاث درجاتٍ يحفظ حسن النية التشغيلية ويُتيح فرصة التصحيح قبل التصعيد، على أن يُعلَّق التدرج ويُفعَّل الإنهاء الفوري في الإخلالات الجوهرية الحرجة الواردة بالملحق (هـ).</w:t>
      </w:r>
    </w:p>
    <w:p>
      <w:pPr>
        <w:bidi/>
        <w:spacing w:after="60" w:before="6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2500"/>
      </w:tblGrid>
      <w:tr>
        <w:trPr>
          <w:tblHeader/>
        </w:trPr>
        <w:tc>
          <w:tcPr>
            <w:tcW w:type="dxa" w:w="1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الدرجة</w:t>
            </w:r>
          </w:p>
        </w:tc>
        <w:tc>
          <w:tcPr>
            <w:tcW w:type="dxa" w:w="2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المسمى</w:t>
            </w:r>
          </w:p>
        </w:tc>
        <w:tc>
          <w:tcPr>
            <w:tcW w:type="dxa" w:w="2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الإجراء</w:t>
            </w:r>
          </w:p>
        </w:tc>
        <w:tc>
          <w:tcPr>
            <w:tcW w:type="dxa" w:w="2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مهلة العلاج / الإنفاذ</w:t>
            </w:r>
          </w:p>
        </w:tc>
      </w:tr>
      <w:tr>
        <w:tc>
          <w:tcPr>
            <w:tcW w:type="dxa" w:w="1500"/>
            <w:tcBorders>
              <w:top w:val="single" w:color="D1D5DB" w:sz="6"/>
              <w:left w:val="single" w:color="D1D5DB" w:sz="6"/>
              <w:bottom w:val="single" w:color="D1D5DB" w:sz="6"/>
              <w:right w:val="single" w:color="D1D5DB" w:sz="6"/>
            </w:tcBorders>
            <w:shd w:fill="27AE60" w:val="2"/>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الأولى</w:t>
            </w:r>
          </w:p>
        </w:tc>
        <w:tc>
          <w:tcPr>
            <w:tcW w:type="dxa" w:w="25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إنذار كتابي رسمي</w:t>
            </w:r>
          </w:p>
        </w:tc>
        <w:tc>
          <w:tcPr>
            <w:tcW w:type="dxa" w:w="25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both"/>
            </w:pPr>
            <w:r>
              <w:rPr>
                <w:rFonts w:ascii="Cairo" w:cs="Cairo" w:eastAsia="Cairo" w:hAnsi="Cairo"/>
                <w:b w:val="false"/>
                <w:bCs w:val="false"/>
                <w:color w:val="000000"/>
                <w:sz w:val="22"/>
                <w:szCs w:val="22"/>
                <w:rtl/>
              </w:rPr>
              <w:t xml:space="preserve">إخطار كتابي يوثَّق في سجل الأداء مع تحديد الإخلال والطلب الرسمي بالتصحيح</w:t>
            </w:r>
          </w:p>
        </w:tc>
        <w:tc>
          <w:tcPr>
            <w:tcW w:type="dxa" w:w="25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مهلة تصحيح 14 يوم عمل</w:t>
            </w:r>
          </w:p>
        </w:tc>
      </w:tr>
      <w:tr>
        <w:tc>
          <w:tcPr>
            <w:tcW w:type="dxa" w:w="1500"/>
            <w:tcBorders>
              <w:top w:val="single" w:color="D1D5DB" w:sz="6"/>
              <w:left w:val="single" w:color="D1D5DB" w:sz="6"/>
              <w:bottom w:val="single" w:color="D1D5DB" w:sz="6"/>
              <w:right w:val="single" w:color="D1D5DB" w:sz="6"/>
            </w:tcBorders>
            <w:shd w:fill="F39C12" w:val="2"/>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الثانية</w:t>
            </w:r>
          </w:p>
        </w:tc>
        <w:tc>
          <w:tcPr>
            <w:tcW w:type="dxa" w:w="25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غرامة مالية + تعليق جزئي</w:t>
            </w:r>
          </w:p>
        </w:tc>
        <w:tc>
          <w:tcPr>
            <w:tcW w:type="dxa" w:w="25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both"/>
            </w:pPr>
            <w:r>
              <w:rPr>
                <w:rFonts w:ascii="Cairo" w:cs="Cairo" w:eastAsia="Cairo" w:hAnsi="Cairo"/>
                <w:b w:val="false"/>
                <w:bCs w:val="false"/>
                <w:color w:val="000000"/>
                <w:sz w:val="22"/>
                <w:szCs w:val="22"/>
                <w:rtl/>
              </w:rPr>
              <w:t xml:space="preserve">تطبيق الغرامة من مصفوفة الملحق (هـ) + تعليق التوريد أو حوافز الأداء جزئيًّا</w:t>
            </w:r>
          </w:p>
        </w:tc>
        <w:tc>
          <w:tcPr>
            <w:tcW w:type="dxa" w:w="25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تنفَّذ خلال 10 أيام من الإخطار الثاني</w:t>
            </w:r>
          </w:p>
        </w:tc>
      </w:tr>
      <w:tr>
        <w:tc>
          <w:tcPr>
            <w:tcW w:type="dxa" w:w="1500"/>
            <w:tcBorders>
              <w:top w:val="single" w:color="D1D5DB" w:sz="6"/>
              <w:left w:val="single" w:color="D1D5DB" w:sz="6"/>
              <w:bottom w:val="single" w:color="D1D5DB" w:sz="6"/>
              <w:right w:val="single" w:color="D1D5DB" w:sz="6"/>
            </w:tcBorders>
            <w:shd w:fill="C0392B" w:val="2"/>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الثالثة</w:t>
            </w:r>
          </w:p>
        </w:tc>
        <w:tc>
          <w:tcPr>
            <w:tcW w:type="dxa" w:w="25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تعليق كلي أو إنهاء</w:t>
            </w:r>
          </w:p>
        </w:tc>
        <w:tc>
          <w:tcPr>
            <w:tcW w:type="dxa" w:w="25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both"/>
            </w:pPr>
            <w:r>
              <w:rPr>
                <w:rFonts w:ascii="Cairo" w:cs="Cairo" w:eastAsia="Cairo" w:hAnsi="Cairo"/>
                <w:b w:val="false"/>
                <w:bCs w:val="false"/>
                <w:color w:val="000000"/>
                <w:sz w:val="22"/>
                <w:szCs w:val="22"/>
                <w:rtl/>
              </w:rPr>
              <w:t xml:space="preserve">تعليق التشغيل الكامل أو إنهاء العقد مع الخصم من الرهن التجاري للأضرار المثبتة</w:t>
            </w:r>
          </w:p>
        </w:tc>
        <w:tc>
          <w:tcPr>
            <w:tcW w:type="dxa" w:w="25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إخطار 30 يومًا قبل الإنهاء (ما لم يكن الإخلال جوهريًّا حرجًا)</w:t>
            </w:r>
          </w:p>
        </w:tc>
      </w:tr>
    </w:tbl>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20.1  قواعد التطبيق</w:t>
      </w:r>
    </w:p>
    <w:p>
      <w:pPr>
        <w:pStyle w:val="ListParagraph"/>
        <w:numPr>
          <w:ilvl w:val="0"/>
          <w:numId w:val="2"/>
        </w:numPr>
        <w:bidi/>
        <w:spacing w:after="40" w:before="40" w:line="320"/>
        <w:jc w:val="both"/>
      </w:pPr>
      <w:r>
        <w:rPr>
          <w:rFonts w:ascii="Cairo" w:cs="Cairo" w:eastAsia="Cairo" w:hAnsi="Cairo"/>
          <w:sz w:val="22"/>
          <w:szCs w:val="22"/>
          <w:rtl/>
        </w:rPr>
        <w:t xml:space="preserve">يُعدّ تكرار الإخلال ذاته خلال (12) شهرًا من الإخطار الأول مسوِّغًا للقفز إلى الدرجة التالية دون الحاجة إلى استيفاء مدة العلاج.</w:t>
      </w:r>
    </w:p>
    <w:p>
      <w:pPr>
        <w:pStyle w:val="ListParagraph"/>
        <w:numPr>
          <w:ilvl w:val="0"/>
          <w:numId w:val="2"/>
        </w:numPr>
        <w:bidi/>
        <w:spacing w:after="40" w:before="40" w:line="320"/>
        <w:jc w:val="both"/>
      </w:pPr>
      <w:r>
        <w:rPr>
          <w:rFonts w:ascii="Cairo" w:cs="Cairo" w:eastAsia="Cairo" w:hAnsi="Cairo"/>
          <w:sz w:val="22"/>
          <w:szCs w:val="22"/>
          <w:rtl/>
        </w:rPr>
        <w:t xml:space="preserve">لا يجوز تطبيق الدرجة الثانية قبل استيفاء الدرجة الأولى إلا في الإخلالات الحرجة بالملحق (هـ).</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التقدُّم بطلب تظلُّمٍ كتابيٍّ خلال (7) أيام من تطبيق الدرجة الثانية أو الثالثة، ويُبَت فيه خلال (15) يومًا قبل تنفيذ الإجراء.</w:t>
      </w:r>
    </w:p>
    <w:p>
      <w:pPr>
        <w:pStyle w:val="ListParagraph"/>
        <w:numPr>
          <w:ilvl w:val="0"/>
          <w:numId w:val="2"/>
        </w:numPr>
        <w:bidi/>
        <w:spacing w:after="40" w:before="40" w:line="320"/>
        <w:jc w:val="both"/>
      </w:pPr>
      <w:r>
        <w:rPr>
          <w:rFonts w:ascii="Cairo" w:cs="Cairo" w:eastAsia="Cairo" w:hAnsi="Cairo"/>
          <w:sz w:val="22"/>
          <w:szCs w:val="22"/>
          <w:rtl/>
        </w:rPr>
        <w:t xml:space="preserve">جميع الإخطارات والتصعيدات تُحفَظ في سجلٍّ موثَّقٍ على المنصة التقنية، متاحٍ للموزع.</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الحادية والعشرون — مصفوفة الغرامات</w:t>
      </w:r>
    </w:p>
    <w:p>
      <w:pPr>
        <w:bidi/>
        <w:spacing w:after="80" w:before="80" w:line="320"/>
        <w:jc w:val="both"/>
      </w:pPr>
      <w:r>
        <w:rPr>
          <w:rFonts w:ascii="Cairo" w:cs="Cairo" w:eastAsia="Cairo" w:hAnsi="Cairo"/>
          <w:b w:val="false"/>
          <w:bCs w:val="false"/>
          <w:color w:val="000000"/>
          <w:sz w:val="22"/>
          <w:szCs w:val="22"/>
          <w:rtl/>
        </w:rPr>
        <w:t xml:space="preserve">تُفصَّل قيمة الغرامات وصنف الإخلال المقابل في مصفوفة الغرامات بالملحق (هـ) من هذا العقد، وتُعدّ المصفوفة جزءًا لا يتجزَّأ من العقد.</w:t>
      </w:r>
    </w:p>
    <w:p>
      <w:pPr>
        <w:bidi/>
        <w:spacing w:after="80" w:before="100" w:line="320"/>
        <w:jc w:val="both"/>
      </w:pPr>
      <w:r>
        <w:rPr>
          <w:rFonts w:ascii="Cairo" w:cs="Cairo" w:eastAsia="Cairo" w:hAnsi="Cairo"/>
          <w:b w:val="false"/>
          <w:bCs w:val="false"/>
          <w:color w:val="000000"/>
          <w:sz w:val="22"/>
          <w:szCs w:val="22"/>
          <w:rtl/>
        </w:rPr>
        <w:t xml:space="preserve">تُطبَّق المبادئ التالية عند احتساب الغرامات:</w:t>
      </w:r>
    </w:p>
    <w:p>
      <w:pPr>
        <w:pStyle w:val="ListParagraph"/>
        <w:numPr>
          <w:ilvl w:val="0"/>
          <w:numId w:val="2"/>
        </w:numPr>
        <w:bidi/>
        <w:spacing w:after="40" w:before="40" w:line="320"/>
        <w:jc w:val="both"/>
      </w:pPr>
      <w:r>
        <w:rPr>
          <w:rFonts w:ascii="Cairo" w:cs="Cairo" w:eastAsia="Cairo" w:hAnsi="Cairo"/>
          <w:sz w:val="22"/>
          <w:szCs w:val="22"/>
          <w:rtl/>
        </w:rPr>
        <w:t xml:space="preserve">الغرامة تُعدّ تعويضًا اتفاقيًّا مقدَّرًا (Liquidated Damages) ولا يشترط إثبات الضرر الفعلي للمطالبة بها.</w:t>
      </w:r>
    </w:p>
    <w:p>
      <w:pPr>
        <w:pStyle w:val="ListParagraph"/>
        <w:numPr>
          <w:ilvl w:val="0"/>
          <w:numId w:val="2"/>
        </w:numPr>
        <w:bidi/>
        <w:spacing w:after="40" w:before="40" w:line="320"/>
        <w:jc w:val="both"/>
      </w:pPr>
      <w:r>
        <w:rPr>
          <w:rFonts w:ascii="Cairo" w:cs="Cairo" w:eastAsia="Cairo" w:hAnsi="Cairo"/>
          <w:sz w:val="22"/>
          <w:szCs w:val="22"/>
          <w:rtl/>
        </w:rPr>
        <w:t xml:space="preserve">تُخصَم الغرامات من مستحقات الموزع لدى إيزي جاز أولًا، وفي حال عدم كفايتها تُخصَم من الرهن التجاري المسجَّل بعد إخطارٍ كتابيٍّ مفصَّلٍ قبل الخصم بـ (15) يومًا.</w:t>
      </w:r>
    </w:p>
    <w:p>
      <w:pPr>
        <w:pStyle w:val="ListParagraph"/>
        <w:numPr>
          <w:ilvl w:val="0"/>
          <w:numId w:val="2"/>
        </w:numPr>
        <w:bidi/>
        <w:spacing w:after="40" w:before="40" w:line="320"/>
        <w:jc w:val="both"/>
      </w:pPr>
      <w:r>
        <w:rPr>
          <w:rFonts w:ascii="Cairo" w:cs="Cairo" w:eastAsia="Cairo" w:hAnsi="Cairo"/>
          <w:sz w:val="22"/>
          <w:szCs w:val="22"/>
          <w:rtl/>
        </w:rPr>
        <w:t xml:space="preserve">لا يحقّ لإيزي جاز الجمع بين الغرامة وتعويضٍ إضافيٍّ عن الضرر ذاته إلا بقدر ما يتجاوز الضرر الفعلي الموثَّق قيمة الغرامة.</w:t>
      </w:r>
    </w:p>
    <w:p>
      <w:pPr>
        <w:pStyle w:val="ListParagraph"/>
        <w:numPr>
          <w:ilvl w:val="0"/>
          <w:numId w:val="2"/>
        </w:numPr>
        <w:bidi/>
        <w:spacing w:after="40" w:before="40" w:line="320"/>
        <w:jc w:val="both"/>
      </w:pPr>
      <w:r>
        <w:rPr>
          <w:rFonts w:ascii="Cairo" w:cs="Cairo" w:eastAsia="Cairo" w:hAnsi="Cairo"/>
          <w:sz w:val="22"/>
          <w:szCs w:val="22"/>
          <w:rtl/>
        </w:rPr>
        <w:t xml:space="preserve">إذا ثبت أن الإخلال ناجم عن فعلٍ أو إهمالٍ من إيزي جاز، لا تُطبَّق الغرامة على الموزع وتُعاد إليه إن سبق خصمها.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الثانية والعشرون — القوة القاهرة</w:t>
      </w:r>
    </w:p>
    <w:p>
      <w:pPr>
        <w:pStyle w:val="ListParagraph"/>
        <w:numPr>
          <w:ilvl w:val="0"/>
          <w:numId w:val="2"/>
        </w:numPr>
        <w:bidi/>
        <w:spacing w:after="40" w:before="40" w:line="320"/>
        <w:jc w:val="both"/>
      </w:pPr>
      <w:r>
        <w:rPr>
          <w:rFonts w:ascii="Cairo" w:cs="Cairo" w:eastAsia="Cairo" w:hAnsi="Cairo"/>
          <w:sz w:val="22"/>
          <w:szCs w:val="22"/>
          <w:rtl/>
        </w:rPr>
        <w:t xml:space="preserve">لا يُعدّ أيّ طرفٍ مُخلًّا بالتزاماته التعاقدية بسبب أحداث القوة القاهرة، التي تشمل على سبيل المثال لا الحصر: الكوارث الطبيعية، الحروب، الاضطرابات المدنية، الأوبئة، انقطاع الإمداد العامّ للطاقة أو الاتصالات، القرارات الحكومية المفاجئة المؤثِّرة جوهريًّا، والهجمات السيبرانية واسعة النطاق.</w:t>
      </w:r>
    </w:p>
    <w:p>
      <w:pPr>
        <w:pStyle w:val="ListParagraph"/>
        <w:numPr>
          <w:ilvl w:val="0"/>
          <w:numId w:val="2"/>
        </w:numPr>
        <w:bidi/>
        <w:spacing w:after="40" w:before="40" w:line="320"/>
        <w:jc w:val="both"/>
      </w:pPr>
      <w:r>
        <w:rPr>
          <w:rFonts w:ascii="Cairo" w:cs="Cairo" w:eastAsia="Cairo" w:hAnsi="Cairo"/>
          <w:sz w:val="22"/>
          <w:szCs w:val="22"/>
          <w:rtl/>
        </w:rPr>
        <w:t xml:space="preserve">يلتزم الطرف المتأثِّر بالإخطار الكتابي للطرف الآخر خلال (7) أيامٍ من علمه بالحدث، مع توضيح طبيعته وأثره ومدته المتوقَّعة.</w:t>
      </w:r>
    </w:p>
    <w:p>
      <w:pPr>
        <w:pStyle w:val="ListParagraph"/>
        <w:numPr>
          <w:ilvl w:val="0"/>
          <w:numId w:val="2"/>
        </w:numPr>
        <w:bidi/>
        <w:spacing w:after="40" w:before="40" w:line="320"/>
        <w:jc w:val="both"/>
      </w:pPr>
      <w:r>
        <w:rPr>
          <w:rFonts w:ascii="Cairo" w:cs="Cairo" w:eastAsia="Cairo" w:hAnsi="Cairo"/>
          <w:sz w:val="22"/>
          <w:szCs w:val="22"/>
          <w:rtl/>
        </w:rPr>
        <w:t xml:space="preserve">تُعلَّق التزامات الطرف المتأثِّر طوال استمرار الحدث وبقدر أثره، على أن يُبذَل الجهد المعقول لتخفيف الأثر.</w:t>
      </w:r>
    </w:p>
    <w:p>
      <w:pPr>
        <w:pStyle w:val="ListParagraph"/>
        <w:numPr>
          <w:ilvl w:val="0"/>
          <w:numId w:val="2"/>
        </w:numPr>
        <w:bidi/>
        <w:spacing w:after="40" w:before="40" w:line="320"/>
        <w:jc w:val="both"/>
      </w:pPr>
      <w:r>
        <w:rPr>
          <w:rFonts w:ascii="Cairo" w:cs="Cairo" w:eastAsia="Cairo" w:hAnsi="Cairo"/>
          <w:sz w:val="22"/>
          <w:szCs w:val="22"/>
          <w:rtl/>
        </w:rPr>
        <w:t xml:space="preserve">إذا استمرَّ حدث القوة القاهرة لأكثر من تسعين (90) يومًا متصلة، يحقّ لأيّ طرفٍ إنهاء العقد دون تعويضٍ عن فوات الفرصة أو الأرباح المتوقَّعة.</w:t>
      </w:r>
    </w:p>
    <w:p>
      <w:pPr>
        <w:pStyle w:val="ListParagraph"/>
        <w:numPr>
          <w:ilvl w:val="0"/>
          <w:numId w:val="2"/>
        </w:numPr>
        <w:bidi/>
        <w:spacing w:after="40" w:before="40" w:line="320"/>
        <w:jc w:val="both"/>
      </w:pPr>
      <w:r>
        <w:rPr>
          <w:rFonts w:ascii="Cairo" w:cs="Cairo" w:eastAsia="Cairo" w:hAnsi="Cairo"/>
          <w:sz w:val="22"/>
          <w:szCs w:val="22"/>
          <w:rtl/>
        </w:rPr>
        <w:t xml:space="preserve">لا تُعدّ التقلبات السعرية العادية أو المنافسة أو ضعف الأداء التشغيلي للموزع قوة قاهرة.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الثالثة والعشرون — الإنهاء</w:t>
      </w:r>
    </w:p>
    <w:p>
      <w:pPr>
        <w:pStyle w:val="Heading2"/>
        <w:bidi/>
        <w:spacing w:after="140" w:before="260"/>
        <w:jc w:val="right"/>
      </w:pPr>
      <w:r>
        <w:rPr>
          <w:rFonts w:ascii="Cairo" w:cs="Cairo" w:eastAsia="Cairo" w:hAnsi="Cairo"/>
          <w:b/>
          <w:bCs/>
          <w:color w:val="1E7A3C"/>
          <w:sz w:val="26"/>
          <w:szCs w:val="26"/>
          <w:rtl/>
        </w:rPr>
        <w:t xml:space="preserve">23.1  الإنهاء بالاتفاق</w:t>
      </w:r>
    </w:p>
    <w:p>
      <w:pPr>
        <w:bidi/>
        <w:spacing w:after="80" w:before="80" w:line="320"/>
        <w:jc w:val="both"/>
      </w:pPr>
      <w:r>
        <w:rPr>
          <w:rFonts w:ascii="Cairo" w:cs="Cairo" w:eastAsia="Cairo" w:hAnsi="Cairo"/>
          <w:b w:val="false"/>
          <w:bCs w:val="false"/>
          <w:color w:val="000000"/>
          <w:sz w:val="22"/>
          <w:szCs w:val="22"/>
          <w:rtl/>
        </w:rPr>
        <w:t xml:space="preserve">يحقّ للطرفين الاتفاق كتابيًّا على إنهاء العقد في أيّ وقتٍ، مع تحديد شروط التسوية وإعادة الأصول وفك الرهن التجاري.</w:t>
      </w:r>
    </w:p>
    <w:p>
      <w:pPr>
        <w:pStyle w:val="Heading2"/>
        <w:bidi/>
        <w:spacing w:after="140" w:before="260"/>
        <w:jc w:val="right"/>
      </w:pPr>
      <w:r>
        <w:rPr>
          <w:rFonts w:ascii="Cairo" w:cs="Cairo" w:eastAsia="Cairo" w:hAnsi="Cairo"/>
          <w:b/>
          <w:bCs/>
          <w:color w:val="1E7A3C"/>
          <w:sz w:val="26"/>
          <w:szCs w:val="26"/>
          <w:rtl/>
        </w:rPr>
        <w:t xml:space="preserve">23.2  الإنهاء بالإرادة المنفردة لإيزي جاز</w:t>
      </w:r>
    </w:p>
    <w:p>
      <w:pPr>
        <w:bidi/>
        <w:spacing w:after="80" w:before="80" w:line="320"/>
        <w:jc w:val="both"/>
      </w:pPr>
      <w:r>
        <w:rPr>
          <w:rFonts w:ascii="Cairo" w:cs="Cairo" w:eastAsia="Cairo" w:hAnsi="Cairo"/>
          <w:b w:val="false"/>
          <w:bCs w:val="false"/>
          <w:color w:val="000000"/>
          <w:sz w:val="22"/>
          <w:szCs w:val="22"/>
          <w:rtl/>
        </w:rPr>
        <w:t xml:space="preserve">يحقّ لإيزي جاز إنهاء العقد بإرادتها المنفردة في الحالات التالية، بعد إخطارٍ كتابيٍّ وبعد استيفاء مقتضيات نظام التصعيد المتدرج:</w:t>
      </w:r>
    </w:p>
    <w:p>
      <w:pPr>
        <w:pStyle w:val="ListParagraph"/>
        <w:numPr>
          <w:ilvl w:val="0"/>
          <w:numId w:val="2"/>
        </w:numPr>
        <w:bidi/>
        <w:spacing w:after="40" w:before="40" w:line="320"/>
        <w:jc w:val="both"/>
      </w:pPr>
      <w:r>
        <w:rPr>
          <w:rFonts w:ascii="Cairo" w:cs="Cairo" w:eastAsia="Cairo" w:hAnsi="Cairo"/>
          <w:sz w:val="22"/>
          <w:szCs w:val="22"/>
          <w:rtl/>
        </w:rPr>
        <w:t xml:space="preserve">ثبوت إخلالٍ جوهريٍّ حرجٍ من الإخلالات المُدرجة في الملحق (هـ) — كالتعبئة خارج المنشآت المعتمدة، أو العبث برمز QR، أو التلاعب بالأسعار الرسمية — يستوجب الإنهاء الفوري.</w:t>
      </w:r>
    </w:p>
    <w:p>
      <w:pPr>
        <w:pStyle w:val="ListParagraph"/>
        <w:numPr>
          <w:ilvl w:val="0"/>
          <w:numId w:val="2"/>
        </w:numPr>
        <w:bidi/>
        <w:spacing w:after="40" w:before="40" w:line="320"/>
        <w:jc w:val="both"/>
      </w:pPr>
      <w:r>
        <w:rPr>
          <w:rFonts w:ascii="Cairo" w:cs="Cairo" w:eastAsia="Cairo" w:hAnsi="Cairo"/>
          <w:sz w:val="22"/>
          <w:szCs w:val="22"/>
          <w:rtl/>
        </w:rPr>
        <w:t xml:space="preserve">تكرار الإخلالات غير الحرجة ثلاث مراتٍ موثَّقةٍ خلال (12) شهرًا دون علاجٍ فعليٍّ.</w:t>
      </w:r>
    </w:p>
    <w:p>
      <w:pPr>
        <w:pStyle w:val="ListParagraph"/>
        <w:numPr>
          <w:ilvl w:val="0"/>
          <w:numId w:val="2"/>
        </w:numPr>
        <w:bidi/>
        <w:spacing w:after="40" w:before="40" w:line="320"/>
        <w:jc w:val="both"/>
      </w:pPr>
      <w:r>
        <w:rPr>
          <w:rFonts w:ascii="Cairo" w:cs="Cairo" w:eastAsia="Cairo" w:hAnsi="Cairo"/>
          <w:sz w:val="22"/>
          <w:szCs w:val="22"/>
          <w:rtl/>
        </w:rPr>
        <w:t xml:space="preserve">إعسار الموزع أو إشهار إفلاسه أو فقدانه الأهلية القانونية.</w:t>
      </w:r>
    </w:p>
    <w:p>
      <w:pPr>
        <w:pStyle w:val="ListParagraph"/>
        <w:numPr>
          <w:ilvl w:val="0"/>
          <w:numId w:val="2"/>
        </w:numPr>
        <w:bidi/>
        <w:spacing w:after="40" w:before="40" w:line="320"/>
        <w:jc w:val="both"/>
      </w:pPr>
      <w:r>
        <w:rPr>
          <w:rFonts w:ascii="Cairo" w:cs="Cairo" w:eastAsia="Cairo" w:hAnsi="Cairo"/>
          <w:sz w:val="22"/>
          <w:szCs w:val="22"/>
          <w:rtl/>
        </w:rPr>
        <w:t xml:space="preserve">عدم سداد أيّ مستحقاتٍ ماليةٍ ثابتةٍ لمدة تزيد على (60) يومًا من تاريخ الاستحقاق رغم الإنذار الرسمي.</w:t>
      </w:r>
    </w:p>
    <w:p>
      <w:pPr>
        <w:pStyle w:val="Heading2"/>
        <w:bidi/>
        <w:spacing w:after="140" w:before="260"/>
        <w:jc w:val="right"/>
      </w:pPr>
      <w:r>
        <w:rPr>
          <w:rFonts w:ascii="Cairo" w:cs="Cairo" w:eastAsia="Cairo" w:hAnsi="Cairo"/>
          <w:b/>
          <w:bCs/>
          <w:color w:val="1E7A3C"/>
          <w:sz w:val="26"/>
          <w:szCs w:val="26"/>
          <w:rtl/>
        </w:rPr>
        <w:t xml:space="preserve">23.3  الإنهاء بالإرادة المنفردة للموزع</w:t>
      </w:r>
    </w:p>
    <w:p>
      <w:pPr>
        <w:bidi/>
        <w:spacing w:after="80" w:before="80" w:line="320"/>
        <w:jc w:val="both"/>
      </w:pPr>
      <w:r>
        <w:rPr>
          <w:rFonts w:ascii="Cairo" w:cs="Cairo" w:eastAsia="Cairo" w:hAnsi="Cairo"/>
          <w:b w:val="false"/>
          <w:bCs w:val="false"/>
          <w:color w:val="000000"/>
          <w:sz w:val="22"/>
          <w:szCs w:val="22"/>
          <w:rtl/>
        </w:rPr>
        <w:t xml:space="preserve">يحقّ للموزع إنهاء العقد بإرادته المنفردة في الحالات التالية:</w:t>
      </w:r>
    </w:p>
    <w:p>
      <w:pPr>
        <w:pStyle w:val="ListParagraph"/>
        <w:numPr>
          <w:ilvl w:val="0"/>
          <w:numId w:val="2"/>
        </w:numPr>
        <w:bidi/>
        <w:spacing w:after="40" w:before="40" w:line="320"/>
        <w:jc w:val="both"/>
      </w:pPr>
      <w:r>
        <w:rPr>
          <w:rFonts w:ascii="Cairo" w:cs="Cairo" w:eastAsia="Cairo" w:hAnsi="Cairo"/>
          <w:sz w:val="22"/>
          <w:szCs w:val="22"/>
          <w:rtl/>
        </w:rPr>
        <w:t xml:space="preserve">تأخُّر إيزي جاز في التوريد لأسبابٍ غير قاهرة لمدة تزيد على (45) يومًا متصلة.</w:t>
      </w:r>
    </w:p>
    <w:p>
      <w:pPr>
        <w:pStyle w:val="ListParagraph"/>
        <w:numPr>
          <w:ilvl w:val="0"/>
          <w:numId w:val="2"/>
        </w:numPr>
        <w:bidi/>
        <w:spacing w:after="40" w:before="40" w:line="320"/>
        <w:jc w:val="both"/>
      </w:pPr>
      <w:r>
        <w:rPr>
          <w:rFonts w:ascii="Cairo" w:cs="Cairo" w:eastAsia="Cairo" w:hAnsi="Cairo"/>
          <w:sz w:val="22"/>
          <w:szCs w:val="22"/>
          <w:rtl/>
        </w:rPr>
        <w:t xml:space="preserve">رفع إيزي جاز أسعار التوريد بأكثر من الحد المتفَق عليه بالمادة السابعة دون اتباع آلية الإخطار والتفاوض.</w:t>
      </w:r>
    </w:p>
    <w:p>
      <w:pPr>
        <w:pStyle w:val="ListParagraph"/>
        <w:numPr>
          <w:ilvl w:val="0"/>
          <w:numId w:val="2"/>
        </w:numPr>
        <w:bidi/>
        <w:spacing w:after="40" w:before="40" w:line="320"/>
        <w:jc w:val="both"/>
      </w:pPr>
      <w:r>
        <w:rPr>
          <w:rFonts w:ascii="Cairo" w:cs="Cairo" w:eastAsia="Cairo" w:hAnsi="Cairo"/>
          <w:sz w:val="22"/>
          <w:szCs w:val="22"/>
          <w:rtl/>
        </w:rPr>
        <w:t xml:space="preserve">تعيين إيزي جاز لموزعٍ منافسٍ في النطاق الجغرافي بشكل مخالف للمادة الرابعة.</w:t>
      </w:r>
    </w:p>
    <w:p>
      <w:pPr>
        <w:pStyle w:val="ListParagraph"/>
        <w:numPr>
          <w:ilvl w:val="0"/>
          <w:numId w:val="2"/>
        </w:numPr>
        <w:bidi/>
        <w:spacing w:after="40" w:before="40" w:line="320"/>
        <w:jc w:val="both"/>
      </w:pPr>
      <w:r>
        <w:rPr>
          <w:rFonts w:ascii="Cairo" w:cs="Cairo" w:eastAsia="Cairo" w:hAnsi="Cairo"/>
          <w:sz w:val="22"/>
          <w:szCs w:val="22"/>
          <w:rtl/>
        </w:rPr>
        <w:t xml:space="preserve">إخلالٍ جوهريٍّ من إيزي جاز بالتزاماتها الواردة بالمادة الثالثة عشرة، بعد إخطارٍ كتابيٍّ بـ (30) يومًا لا يُتَّخَذ فيه إجراءٌ تصحيحي.</w:t>
      </w:r>
    </w:p>
    <w:p>
      <w:pPr>
        <w:pStyle w:val="Heading2"/>
        <w:bidi/>
        <w:spacing w:after="140" w:before="260"/>
        <w:jc w:val="right"/>
      </w:pPr>
      <w:r>
        <w:rPr>
          <w:rFonts w:ascii="Cairo" w:cs="Cairo" w:eastAsia="Cairo" w:hAnsi="Cairo"/>
          <w:b/>
          <w:bCs/>
          <w:color w:val="1E7A3C"/>
          <w:sz w:val="26"/>
          <w:szCs w:val="26"/>
          <w:rtl/>
        </w:rPr>
        <w:t xml:space="preserve">23.4  الإنهاء للمصلحة (Termination for Convenience)</w:t>
      </w:r>
    </w:p>
    <w:p>
      <w:pPr>
        <w:pStyle w:val="ListParagraph"/>
        <w:numPr>
          <w:ilvl w:val="0"/>
          <w:numId w:val="2"/>
        </w:numPr>
        <w:bidi/>
        <w:spacing w:after="40" w:before="40" w:line="320"/>
        <w:jc w:val="both"/>
      </w:pPr>
      <w:r>
        <w:rPr>
          <w:rFonts w:ascii="Cairo" w:cs="Cairo" w:eastAsia="Cairo" w:hAnsi="Cairo"/>
          <w:sz w:val="22"/>
          <w:szCs w:val="22"/>
          <w:rtl/>
        </w:rPr>
        <w:t xml:space="preserve">يحقّ لأيّ طرفٍ إنهاء العقد لمصلحته الخاصة بعد انقضاء السنة الثانية من مدته، بإخطارٍ كتابيٍّ قبل (180) يومًا على الأقل.</w:t>
      </w:r>
    </w:p>
    <w:p>
      <w:pPr>
        <w:pStyle w:val="ListParagraph"/>
        <w:numPr>
          <w:ilvl w:val="0"/>
          <w:numId w:val="2"/>
        </w:numPr>
        <w:bidi/>
        <w:spacing w:after="40" w:before="40" w:line="320"/>
        <w:jc w:val="both"/>
      </w:pPr>
      <w:r>
        <w:rPr>
          <w:rFonts w:ascii="Cairo" w:cs="Cairo" w:eastAsia="Cairo" w:hAnsi="Cairo"/>
          <w:sz w:val="22"/>
          <w:szCs w:val="22"/>
          <w:rtl/>
        </w:rPr>
        <w:t xml:space="preserve">في هذه الحالة تُردّ الدفعة المقدمة كاملة للموزع، ويُسدَّد للموزع تعويضٌ يساوي متوسط دخله الشهري الصافي خلال الأشهر الستة السابقة مضروبًا في ثلاثة (3)، ما لم يثبت إخلالٌ سابق.</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الرابعة والعشرون — التسوية عند الإنهاء</w:t>
      </w:r>
    </w:p>
    <w:p>
      <w:pPr>
        <w:pStyle w:val="Heading2"/>
        <w:bidi/>
        <w:spacing w:after="140" w:before="260"/>
        <w:jc w:val="right"/>
      </w:pPr>
      <w:r>
        <w:rPr>
          <w:rFonts w:ascii="Cairo" w:cs="Cairo" w:eastAsia="Cairo" w:hAnsi="Cairo"/>
          <w:b/>
          <w:bCs/>
          <w:color w:val="1E7A3C"/>
          <w:sz w:val="26"/>
          <w:szCs w:val="26"/>
          <w:rtl/>
        </w:rPr>
        <w:t xml:space="preserve">24.1  جرد الأصول والمخزون</w:t>
      </w:r>
    </w:p>
    <w:p>
      <w:pPr>
        <w:pStyle w:val="ListParagraph"/>
        <w:numPr>
          <w:ilvl w:val="0"/>
          <w:numId w:val="2"/>
        </w:numPr>
        <w:bidi/>
        <w:spacing w:after="40" w:before="40" w:line="320"/>
        <w:jc w:val="both"/>
      </w:pPr>
      <w:r>
        <w:rPr>
          <w:rFonts w:ascii="Cairo" w:cs="Cairo" w:eastAsia="Cairo" w:hAnsi="Cairo"/>
          <w:sz w:val="22"/>
          <w:szCs w:val="22"/>
          <w:rtl/>
        </w:rPr>
        <w:t xml:space="preserve">خلال (15) يومًا من تاريخ الإنهاء الفعلي، يُجرى جردٌ مشتركٌ للأسطوانات والمخزون وأيّ أصولٍ مملوكةٍ لإيزي جاز في عُهدة الموزع.</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بتسليم جميع الأسطوانات الممتلئة والفارغة وتطبيقات المنصة التقنية في حالةٍ تشغيليةٍ جيدة.</w:t>
      </w:r>
    </w:p>
    <w:p>
      <w:pPr>
        <w:pStyle w:val="ListParagraph"/>
        <w:numPr>
          <w:ilvl w:val="0"/>
          <w:numId w:val="2"/>
        </w:numPr>
        <w:bidi/>
        <w:spacing w:after="40" w:before="40" w:line="320"/>
        <w:jc w:val="both"/>
      </w:pPr>
      <w:r>
        <w:rPr>
          <w:rFonts w:ascii="Cairo" w:cs="Cairo" w:eastAsia="Cairo" w:hAnsi="Cairo"/>
          <w:sz w:val="22"/>
          <w:szCs w:val="22"/>
          <w:rtl/>
        </w:rPr>
        <w:t xml:space="preserve">تُشترى الأسطوانات القابلة للتشغيل المسلَّمة من الموزع بسعر (80%) من سعر التوريد الأصلي كحدٍّ أدنى، ويُضاف الفرق إلى التسوية النهائية.</w:t>
      </w:r>
    </w:p>
    <w:p>
      <w:pPr>
        <w:pStyle w:val="Heading2"/>
        <w:bidi/>
        <w:spacing w:after="140" w:before="260"/>
        <w:jc w:val="right"/>
      </w:pPr>
      <w:r>
        <w:rPr>
          <w:rFonts w:ascii="Cairo" w:cs="Cairo" w:eastAsia="Cairo" w:hAnsi="Cairo"/>
          <w:b/>
          <w:bCs/>
          <w:color w:val="1E7A3C"/>
          <w:sz w:val="26"/>
          <w:szCs w:val="26"/>
          <w:rtl/>
        </w:rPr>
        <w:t xml:space="preserve">24.2  التسوية المالية</w:t>
      </w:r>
    </w:p>
    <w:p>
      <w:pPr>
        <w:pStyle w:val="ListParagraph"/>
        <w:numPr>
          <w:ilvl w:val="0"/>
          <w:numId w:val="2"/>
        </w:numPr>
        <w:bidi/>
        <w:spacing w:after="40" w:before="40" w:line="320"/>
        <w:jc w:val="both"/>
      </w:pPr>
      <w:r>
        <w:rPr>
          <w:rFonts w:ascii="Cairo" w:cs="Cairo" w:eastAsia="Cairo" w:hAnsi="Cairo"/>
          <w:sz w:val="22"/>
          <w:szCs w:val="22"/>
          <w:rtl/>
        </w:rPr>
        <w:t xml:space="preserve">خلال (60) يومًا من الجرد المشترك، تُعِدّ إيزي جاز كشف تسويةٍ نهائيٍّ يشمل: (أ) مستحقات الموزع المتبقية، (ب) خصميات الغرامات المُثبَتة، (ج) قيمة الأصول المسلَّمة، (د) رد الدفعة المقدمة، (هـ) تعويضات الإنهاء إن وُجدت.</w:t>
      </w:r>
    </w:p>
    <w:p>
      <w:pPr>
        <w:pStyle w:val="ListParagraph"/>
        <w:numPr>
          <w:ilvl w:val="0"/>
          <w:numId w:val="2"/>
        </w:numPr>
        <w:bidi/>
        <w:spacing w:after="40" w:before="40" w:line="320"/>
        <w:jc w:val="both"/>
      </w:pPr>
      <w:r>
        <w:rPr>
          <w:rFonts w:ascii="Cairo" w:cs="Cairo" w:eastAsia="Cairo" w:hAnsi="Cairo"/>
          <w:sz w:val="22"/>
          <w:szCs w:val="22"/>
          <w:rtl/>
        </w:rPr>
        <w:t xml:space="preserve">يحقّ للموزع الاعتراض على كشف التسوية خلال (15) يومًا من استلامه، وفي حالة الاعتراض يُحال النزاع إلى التحكيم وفقًا للمادة السابعة والعشرين.</w:t>
      </w:r>
    </w:p>
    <w:p>
      <w:pPr>
        <w:pStyle w:val="ListParagraph"/>
        <w:numPr>
          <w:ilvl w:val="0"/>
          <w:numId w:val="2"/>
        </w:numPr>
        <w:bidi/>
        <w:spacing w:after="40" w:before="40" w:line="320"/>
        <w:jc w:val="both"/>
      </w:pPr>
      <w:r>
        <w:rPr>
          <w:rFonts w:ascii="Cairo" w:cs="Cairo" w:eastAsia="Cairo" w:hAnsi="Cairo"/>
          <w:sz w:val="22"/>
          <w:szCs w:val="22"/>
          <w:rtl/>
        </w:rPr>
        <w:t xml:space="preserve">تُسدَّد مستحقات الموزع الصافية خلال (30) يومًا من التوصل إلى تسويةٍ نهائيةٍ أو صدور حكم التحكيم.</w:t>
      </w:r>
    </w:p>
    <w:p>
      <w:pPr>
        <w:pStyle w:val="Heading2"/>
        <w:bidi/>
        <w:spacing w:after="140" w:before="260"/>
        <w:jc w:val="right"/>
      </w:pPr>
      <w:r>
        <w:rPr>
          <w:rFonts w:ascii="Cairo" w:cs="Cairo" w:eastAsia="Cairo" w:hAnsi="Cairo"/>
          <w:b/>
          <w:bCs/>
          <w:color w:val="1E7A3C"/>
          <w:sz w:val="26"/>
          <w:szCs w:val="26"/>
          <w:rtl/>
        </w:rPr>
        <w:t xml:space="preserve">24.3  فكّ الرهن التجاري</w:t>
      </w:r>
    </w:p>
    <w:p>
      <w:pPr>
        <w:bidi/>
        <w:spacing w:after="80" w:before="80" w:line="320"/>
        <w:jc w:val="both"/>
      </w:pPr>
      <w:r>
        <w:rPr>
          <w:rFonts w:ascii="Cairo" w:cs="Cairo" w:eastAsia="Cairo" w:hAnsi="Cairo"/>
          <w:b w:val="false"/>
          <w:bCs w:val="false"/>
          <w:color w:val="000000"/>
          <w:sz w:val="22"/>
          <w:szCs w:val="22"/>
          <w:rtl/>
        </w:rPr>
        <w:t xml:space="preserve">يُفَكّ الرهن التجاري المسجَّل بعد (أ) تسوية جميع الالتزامات المتبادلة، و(ب) تسليم جميع الأصول، و(ج) استرداد رموز QR والصلاحيات الرقمية، ويُوثَّق الفكّ بمحضرٍ رسميٍّ يُسجَّل لدى الجهات المختصة.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الخامسة والعشرون — عدم المنافسة بعد الإنهاء</w:t>
      </w:r>
    </w:p>
    <w:p>
      <w:pPr>
        <w:pStyle w:val="ListParagraph"/>
        <w:numPr>
          <w:ilvl w:val="0"/>
          <w:numId w:val="2"/>
        </w:numPr>
        <w:bidi/>
        <w:spacing w:after="40" w:before="40" w:line="320"/>
        <w:jc w:val="both"/>
      </w:pPr>
      <w:r>
        <w:rPr>
          <w:rFonts w:ascii="Cairo" w:cs="Cairo" w:eastAsia="Cairo" w:hAnsi="Cairo"/>
          <w:sz w:val="22"/>
          <w:szCs w:val="22"/>
          <w:rtl/>
        </w:rPr>
        <w:t xml:space="preserve">يلتزم الموزع بعدم ممارسة أيّ نشاطٍ تجاريٍّ مباشرٍ في تصنيع أو توزيع أسطوانات الغاز المركبة (Type IV Composite Cylinders) داخل النطاق الجغرافي المعتمد لمدة اثنَي عشرَ (12) شهرًا من تاريخ الإنهاء.</w:t>
      </w:r>
    </w:p>
    <w:p>
      <w:pPr>
        <w:pStyle w:val="ListParagraph"/>
        <w:numPr>
          <w:ilvl w:val="0"/>
          <w:numId w:val="2"/>
        </w:numPr>
        <w:bidi/>
        <w:spacing w:after="40" w:before="40" w:line="320"/>
        <w:jc w:val="both"/>
      </w:pPr>
      <w:r>
        <w:rPr>
          <w:rFonts w:ascii="Cairo" w:cs="Cairo" w:eastAsia="Cairo" w:hAnsi="Cairo"/>
          <w:sz w:val="22"/>
          <w:szCs w:val="22"/>
          <w:rtl/>
        </w:rPr>
        <w:t xml:space="preserve">يُستثنى من الحظر: (أ) التوزيع لأطرافٍ في قطاعاتٍ غير منافسة، (ب) النشاط الاقتصادي في منتجاتٍ غير ذات صلة، (ج) توظيفٌ في شركاتٍ لا تعمل في مجال أسطوانات الغاز المركبة.</w:t>
      </w:r>
    </w:p>
    <w:p>
      <w:pPr>
        <w:pStyle w:val="ListParagraph"/>
        <w:numPr>
          <w:ilvl w:val="0"/>
          <w:numId w:val="2"/>
        </w:numPr>
        <w:bidi/>
        <w:spacing w:after="40" w:before="40" w:line="320"/>
        <w:jc w:val="both"/>
      </w:pPr>
      <w:r>
        <w:rPr>
          <w:rFonts w:ascii="Cairo" w:cs="Cairo" w:eastAsia="Cairo" w:hAnsi="Cairo"/>
          <w:sz w:val="22"/>
          <w:szCs w:val="22"/>
          <w:rtl/>
        </w:rPr>
        <w:t xml:space="preserve">في حال إنهاء العقد من إيزي جاز دون إخلالٍ موثَّقٍ من الموزع، يسقط حظر عدم المنافسة تلقائيًّا.</w:t>
      </w:r>
    </w:p>
    <w:p>
      <w:pPr>
        <w:pStyle w:val="ListParagraph"/>
        <w:numPr>
          <w:ilvl w:val="0"/>
          <w:numId w:val="2"/>
        </w:numPr>
        <w:bidi/>
        <w:spacing w:after="40" w:before="40" w:line="320"/>
        <w:jc w:val="both"/>
      </w:pPr>
      <w:r>
        <w:rPr>
          <w:rFonts w:ascii="Cairo" w:cs="Cairo" w:eastAsia="Cairo" w:hAnsi="Cairo"/>
          <w:sz w:val="22"/>
          <w:szCs w:val="22"/>
          <w:rtl/>
        </w:rPr>
        <w:t xml:space="preserve">إخلال الموزع بحظر عدم المنافسة يستوجب تعويضًا اتفاقيًّا يعادل قيمة الأرباح التي حقَّقها من النشاط المنافس، مع حقّ إيزي جاز في طلب وقف النشاط قضائيًّا.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السادسة والعشرون — الإخطارات والمراسلات</w:t>
      </w:r>
    </w:p>
    <w:p>
      <w:pPr>
        <w:pStyle w:val="ListParagraph"/>
        <w:numPr>
          <w:ilvl w:val="0"/>
          <w:numId w:val="2"/>
        </w:numPr>
        <w:bidi/>
        <w:spacing w:after="40" w:before="40" w:line="320"/>
        <w:jc w:val="both"/>
      </w:pPr>
      <w:r>
        <w:rPr>
          <w:rFonts w:ascii="Cairo" w:cs="Cairo" w:eastAsia="Cairo" w:hAnsi="Cairo"/>
          <w:sz w:val="22"/>
          <w:szCs w:val="22"/>
          <w:rtl/>
        </w:rPr>
        <w:t xml:space="preserve">تُوجَّه جميع الإخطارات والمراسلات الرسمية على العناوين المذكورة في ديباجة هذا العقد، أو على أيّ عنوانٍ بديلٍ يُخطِر به طرفٌ الطرف الآخر كتابيًّا.</w:t>
      </w:r>
    </w:p>
    <w:p>
      <w:pPr>
        <w:pStyle w:val="ListParagraph"/>
        <w:numPr>
          <w:ilvl w:val="0"/>
          <w:numId w:val="2"/>
        </w:numPr>
        <w:bidi/>
        <w:spacing w:after="40" w:before="40" w:line="320"/>
        <w:jc w:val="both"/>
      </w:pPr>
      <w:r>
        <w:rPr>
          <w:rFonts w:ascii="Cairo" w:cs="Cairo" w:eastAsia="Cairo" w:hAnsi="Cairo"/>
          <w:sz w:val="22"/>
          <w:szCs w:val="22"/>
          <w:rtl/>
        </w:rPr>
        <w:t xml:space="preserve">تُعدّ الإخطارات الموجَّهة بالبريد المسجَّل بعلم الوصول، أو بالبريد الإلكتروني الرسمي مع تأكيد الاستلام، أو عبر المنصة التقنية بمُسنِد إخطار رسمي، مُنتِجةً لآثارها من تاريخ الاستلام.</w:t>
      </w:r>
    </w:p>
    <w:p>
      <w:pPr>
        <w:pStyle w:val="ListParagraph"/>
        <w:numPr>
          <w:ilvl w:val="0"/>
          <w:numId w:val="2"/>
        </w:numPr>
        <w:bidi/>
        <w:spacing w:after="40" w:before="40" w:line="320"/>
        <w:jc w:val="both"/>
      </w:pPr>
      <w:r>
        <w:rPr>
          <w:rFonts w:ascii="Cairo" w:cs="Cairo" w:eastAsia="Cairo" w:hAnsi="Cairo"/>
          <w:sz w:val="22"/>
          <w:szCs w:val="22"/>
          <w:rtl/>
        </w:rPr>
        <w:t xml:space="preserve">عناوين البريد الإلكتروني الرسمية للطرفين هي:</w:t>
      </w:r>
    </w:p>
    <w:p>
      <w:pPr>
        <w:pStyle w:val="ListParagraph"/>
        <w:numPr>
          <w:ilvl w:val="0"/>
          <w:numId w:val="3"/>
        </w:numPr>
        <w:bidi/>
        <w:spacing w:after="40" w:before="40" w:line="320"/>
        <w:jc w:val="both"/>
      </w:pPr>
      <w:r>
        <w:rPr>
          <w:rFonts w:ascii="Cairo" w:cs="Cairo" w:eastAsia="Cairo" w:hAnsi="Cairo"/>
          <w:sz w:val="22"/>
          <w:szCs w:val="22"/>
          <w:rtl/>
        </w:rPr>
        <w:t xml:space="preserve">إيزي جاز: legal@ezy-gas.com  /  operations@ezy-gas.com</w:t>
      </w:r>
    </w:p>
    <w:p>
      <w:pPr>
        <w:pStyle w:val="ListParagraph"/>
        <w:numPr>
          <w:ilvl w:val="0"/>
          <w:numId w:val="3"/>
        </w:numPr>
        <w:bidi/>
        <w:spacing w:after="40" w:before="40" w:line="320"/>
        <w:jc w:val="both"/>
      </w:pPr>
      <w:r>
        <w:rPr>
          <w:rFonts w:ascii="Cairo" w:cs="Cairo" w:eastAsia="Cairo" w:hAnsi="Cairo"/>
          <w:sz w:val="22"/>
          <w:szCs w:val="22"/>
          <w:rtl/>
        </w:rPr>
        <w:t xml:space="preserve">الموزع: ......... @ .........</w:t>
      </w:r>
    </w:p>
    <w:p>
      <w:pPr>
        <w:pStyle w:val="ListParagraph"/>
        <w:numPr>
          <w:ilvl w:val="0"/>
          <w:numId w:val="2"/>
        </w:numPr>
        <w:bidi/>
        <w:spacing w:after="40" w:before="40" w:line="320"/>
        <w:jc w:val="both"/>
      </w:pPr>
      <w:r>
        <w:rPr>
          <w:rFonts w:ascii="Cairo" w:cs="Cairo" w:eastAsia="Cairo" w:hAnsi="Cairo"/>
          <w:sz w:val="22"/>
          <w:szCs w:val="22"/>
          <w:rtl/>
        </w:rPr>
        <w:t xml:space="preserve">يُعدّ أيّ طرفٍ قد تسلَّم الإخطار إذا رفض استلامه أو أهمله لأكثر من (7) أيامٍ من تاريخ وصوله إلى العنوان المعتمد.</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السابعة والعشرون — القانون الحاكم والتحكيم</w:t>
      </w:r>
    </w:p>
    <w:p>
      <w:pPr>
        <w:pStyle w:val="Heading2"/>
        <w:bidi/>
        <w:spacing w:after="140" w:before="260"/>
        <w:jc w:val="right"/>
      </w:pPr>
      <w:r>
        <w:rPr>
          <w:rFonts w:ascii="Cairo" w:cs="Cairo" w:eastAsia="Cairo" w:hAnsi="Cairo"/>
          <w:b/>
          <w:bCs/>
          <w:color w:val="1E7A3C"/>
          <w:sz w:val="26"/>
          <w:szCs w:val="26"/>
          <w:rtl/>
        </w:rPr>
        <w:t xml:space="preserve">27.1  القانون الحاكم</w:t>
      </w:r>
    </w:p>
    <w:p>
      <w:pPr>
        <w:bidi/>
        <w:spacing w:after="80" w:before="80" w:line="320"/>
        <w:jc w:val="both"/>
      </w:pPr>
      <w:r>
        <w:rPr>
          <w:rFonts w:ascii="Cairo" w:cs="Cairo" w:eastAsia="Cairo" w:hAnsi="Cairo"/>
          <w:b w:val="false"/>
          <w:bCs w:val="false"/>
          <w:color w:val="000000"/>
          <w:sz w:val="22"/>
          <w:szCs w:val="22"/>
          <w:rtl/>
        </w:rPr>
        <w:t xml:space="preserve">يخضع هذا العقد وما ينشأ عنه من نزاعات لقوانين جمهورية مصر العربية.</w:t>
      </w:r>
    </w:p>
    <w:p>
      <w:pPr>
        <w:pStyle w:val="Heading2"/>
        <w:bidi/>
        <w:spacing w:after="140" w:before="260"/>
        <w:jc w:val="right"/>
      </w:pPr>
      <w:r>
        <w:rPr>
          <w:rFonts w:ascii="Cairo" w:cs="Cairo" w:eastAsia="Cairo" w:hAnsi="Cairo"/>
          <w:b/>
          <w:bCs/>
          <w:color w:val="1E7A3C"/>
          <w:sz w:val="26"/>
          <w:szCs w:val="26"/>
          <w:rtl/>
        </w:rPr>
        <w:t xml:space="preserve">27.2  التفاوض الودّي</w:t>
      </w:r>
    </w:p>
    <w:p>
      <w:pPr>
        <w:bidi/>
        <w:spacing w:after="80" w:before="80" w:line="320"/>
        <w:jc w:val="both"/>
      </w:pPr>
      <w:r>
        <w:rPr>
          <w:rFonts w:ascii="Cairo" w:cs="Cairo" w:eastAsia="Cairo" w:hAnsi="Cairo"/>
          <w:b w:val="false"/>
          <w:bCs w:val="false"/>
          <w:color w:val="000000"/>
          <w:sz w:val="22"/>
          <w:szCs w:val="22"/>
          <w:rtl/>
        </w:rPr>
        <w:t xml:space="preserve">يلتزم الطرفان — قبل اللجوء إلى التحكيم — بالاجتماع وبذل الجهد الصادق لحلّ النزاع وديًّا خلال (30) يومًا من تاريخ إخطار النزاع.</w:t>
      </w:r>
    </w:p>
    <w:p>
      <w:pPr>
        <w:pStyle w:val="Heading2"/>
        <w:bidi/>
        <w:spacing w:after="140" w:before="260"/>
        <w:jc w:val="right"/>
      </w:pPr>
      <w:r>
        <w:rPr>
          <w:rFonts w:ascii="Cairo" w:cs="Cairo" w:eastAsia="Cairo" w:hAnsi="Cairo"/>
          <w:b/>
          <w:bCs/>
          <w:color w:val="1E7A3C"/>
          <w:sz w:val="26"/>
          <w:szCs w:val="26"/>
          <w:rtl/>
        </w:rPr>
        <w:t xml:space="preserve">27.3  التحكيم</w:t>
      </w:r>
    </w:p>
    <w:p>
      <w:pPr>
        <w:pStyle w:val="ListParagraph"/>
        <w:numPr>
          <w:ilvl w:val="0"/>
          <w:numId w:val="2"/>
        </w:numPr>
        <w:bidi/>
        <w:spacing w:after="40" w:before="40" w:line="320"/>
        <w:jc w:val="both"/>
      </w:pPr>
      <w:r>
        <w:rPr>
          <w:rFonts w:ascii="Cairo" w:cs="Cairo" w:eastAsia="Cairo" w:hAnsi="Cairo"/>
          <w:sz w:val="22"/>
          <w:szCs w:val="22"/>
          <w:rtl/>
        </w:rPr>
        <w:t xml:space="preserve">في حال تعذُّر الحل الودّي، يُحال النزاع حصرًا إلى التحكيم وفق قواعد مركز القاهرة الإقليمي للتحكيم التجاري الدولي (CRCICA) السارية وقت النزاع.</w:t>
      </w:r>
    </w:p>
    <w:p>
      <w:pPr>
        <w:pStyle w:val="ListParagraph"/>
        <w:numPr>
          <w:ilvl w:val="0"/>
          <w:numId w:val="2"/>
        </w:numPr>
        <w:bidi/>
        <w:spacing w:after="40" w:before="40" w:line="320"/>
        <w:jc w:val="both"/>
      </w:pPr>
      <w:r>
        <w:rPr>
          <w:rFonts w:ascii="Cairo" w:cs="Cairo" w:eastAsia="Cairo" w:hAnsi="Cairo"/>
          <w:sz w:val="22"/>
          <w:szCs w:val="22"/>
          <w:rtl/>
        </w:rPr>
        <w:t xml:space="preserve">يكون عدد المحكِّمين ثلاثةً: يُعيِّن كلّ طرفٍ محكِّمًا، ويُعيِّن المحكِّمان المعيَّنان المحكِّم الثالث الذي يرأس هيئة التحكيم.</w:t>
      </w:r>
    </w:p>
    <w:p>
      <w:pPr>
        <w:pStyle w:val="ListParagraph"/>
        <w:numPr>
          <w:ilvl w:val="0"/>
          <w:numId w:val="2"/>
        </w:numPr>
        <w:bidi/>
        <w:spacing w:after="40" w:before="40" w:line="320"/>
        <w:jc w:val="both"/>
      </w:pPr>
      <w:r>
        <w:rPr>
          <w:rFonts w:ascii="Cairo" w:cs="Cairo" w:eastAsia="Cairo" w:hAnsi="Cairo"/>
          <w:sz w:val="22"/>
          <w:szCs w:val="22"/>
          <w:rtl/>
        </w:rPr>
        <w:t xml:space="preserve">مقرّ التحكيم: مدينة القاهرة، جمهورية مصر العربية.</w:t>
      </w:r>
    </w:p>
    <w:p>
      <w:pPr>
        <w:pStyle w:val="ListParagraph"/>
        <w:numPr>
          <w:ilvl w:val="0"/>
          <w:numId w:val="2"/>
        </w:numPr>
        <w:bidi/>
        <w:spacing w:after="40" w:before="40" w:line="320"/>
        <w:jc w:val="both"/>
      </w:pPr>
      <w:r>
        <w:rPr>
          <w:rFonts w:ascii="Cairo" w:cs="Cairo" w:eastAsia="Cairo" w:hAnsi="Cairo"/>
          <w:sz w:val="22"/>
          <w:szCs w:val="22"/>
          <w:rtl/>
        </w:rPr>
        <w:t xml:space="preserve">لغة التحكيم: العربية.</w:t>
      </w:r>
    </w:p>
    <w:p>
      <w:pPr>
        <w:pStyle w:val="ListParagraph"/>
        <w:numPr>
          <w:ilvl w:val="0"/>
          <w:numId w:val="2"/>
        </w:numPr>
        <w:bidi/>
        <w:spacing w:after="40" w:before="40" w:line="320"/>
        <w:jc w:val="both"/>
      </w:pPr>
      <w:r>
        <w:rPr>
          <w:rFonts w:ascii="Cairo" w:cs="Cairo" w:eastAsia="Cairo" w:hAnsi="Cairo"/>
          <w:sz w:val="22"/>
          <w:szCs w:val="22"/>
          <w:rtl/>
        </w:rPr>
        <w:t xml:space="preserve">يُعدّ حكم التحكيم نهائيًّا وملزمًا ولا يقبل الطعن إلا في الحدود القانونية.</w:t>
      </w:r>
    </w:p>
    <w:p>
      <w:pPr>
        <w:pStyle w:val="ListParagraph"/>
        <w:numPr>
          <w:ilvl w:val="0"/>
          <w:numId w:val="2"/>
        </w:numPr>
        <w:bidi/>
        <w:spacing w:after="40" w:before="40" w:line="320"/>
        <w:jc w:val="both"/>
      </w:pPr>
      <w:r>
        <w:rPr>
          <w:rFonts w:ascii="Cairo" w:cs="Cairo" w:eastAsia="Cairo" w:hAnsi="Cairo"/>
          <w:sz w:val="22"/>
          <w:szCs w:val="22"/>
          <w:rtl/>
        </w:rPr>
        <w:t xml:space="preserve">يتحمَّل الطرف الخاسر كامل أتعاب التحكيم ومحامي الطرف الآخر الفائز، ما لم تقرِّر هيئة التحكيم خلاف ذلك.</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المادة الثامنة والعشرون — أحكام عامة</w:t>
      </w:r>
    </w:p>
    <w:p>
      <w:pPr>
        <w:pStyle w:val="ListParagraph"/>
        <w:numPr>
          <w:ilvl w:val="0"/>
          <w:numId w:val="2"/>
        </w:numPr>
        <w:bidi/>
        <w:spacing w:after="40" w:before="40" w:line="320"/>
        <w:jc w:val="both"/>
      </w:pPr>
      <w:r>
        <w:rPr>
          <w:rFonts w:ascii="Cairo" w:cs="Cairo" w:eastAsia="Cairo" w:hAnsi="Cairo"/>
          <w:sz w:val="22"/>
          <w:szCs w:val="22"/>
          <w:rtl/>
        </w:rPr>
        <w:t xml:space="preserve">يُعدّ هذا العقد — مع ملاحقه وبرنامج الموزعين المعتمدين — الاتفاقَ الكاملَ بين الطرفين بشأن موضوعه، ويلغي أيّ اتفاقاتٍ أو مفاوضاتٍ سابقةٍ شفهيةٍ أو كتابيةٍ.</w:t>
      </w:r>
    </w:p>
    <w:p>
      <w:pPr>
        <w:pStyle w:val="ListParagraph"/>
        <w:numPr>
          <w:ilvl w:val="0"/>
          <w:numId w:val="2"/>
        </w:numPr>
        <w:bidi/>
        <w:spacing w:after="40" w:before="40" w:line="320"/>
        <w:jc w:val="both"/>
      </w:pPr>
      <w:r>
        <w:rPr>
          <w:rFonts w:ascii="Cairo" w:cs="Cairo" w:eastAsia="Cairo" w:hAnsi="Cairo"/>
          <w:sz w:val="22"/>
          <w:szCs w:val="22"/>
          <w:rtl/>
        </w:rPr>
        <w:t xml:space="preserve">لا يجوز تعديل أيّ بندٍ من بنود هذا العقد إلا بموجب ملحقٍ كتابيٍّ موقَّعٍ من الطرفين.</w:t>
      </w:r>
    </w:p>
    <w:p>
      <w:pPr>
        <w:pStyle w:val="ListParagraph"/>
        <w:numPr>
          <w:ilvl w:val="0"/>
          <w:numId w:val="2"/>
        </w:numPr>
        <w:bidi/>
        <w:spacing w:after="40" w:before="40" w:line="320"/>
        <w:jc w:val="both"/>
      </w:pPr>
      <w:r>
        <w:rPr>
          <w:rFonts w:ascii="Cairo" w:cs="Cairo" w:eastAsia="Cairo" w:hAnsi="Cairo"/>
          <w:sz w:val="22"/>
          <w:szCs w:val="22"/>
          <w:rtl/>
        </w:rPr>
        <w:t xml:space="preserve">إذا تبيَّن أن أيّ بندٍ من هذا العقد باطلٌ أو غير قابل للتنفيذ، تظلّ باقي بنود العقد سارية، ويستبدل الطرفان بالبند الباطل بندًا صحيحًا يُحقِّق أقرب قصدٍ ممكنٍ للمعنى الأصلي.</w:t>
      </w:r>
    </w:p>
    <w:p>
      <w:pPr>
        <w:pStyle w:val="ListParagraph"/>
        <w:numPr>
          <w:ilvl w:val="0"/>
          <w:numId w:val="2"/>
        </w:numPr>
        <w:bidi/>
        <w:spacing w:after="40" w:before="40" w:line="320"/>
        <w:jc w:val="both"/>
      </w:pPr>
      <w:r>
        <w:rPr>
          <w:rFonts w:ascii="Cairo" w:cs="Cairo" w:eastAsia="Cairo" w:hAnsi="Cairo"/>
          <w:sz w:val="22"/>
          <w:szCs w:val="22"/>
          <w:rtl/>
        </w:rPr>
        <w:t xml:space="preserve">لا يُعدّ تساهل أيّ طرفٍ في المطالبة بحقٍّ تنازلًا عن ذلك الحق، ولا يعفي من المطالبة به لاحقًا.</w:t>
      </w:r>
    </w:p>
    <w:p>
      <w:pPr>
        <w:pStyle w:val="ListParagraph"/>
        <w:numPr>
          <w:ilvl w:val="0"/>
          <w:numId w:val="2"/>
        </w:numPr>
        <w:bidi/>
        <w:spacing w:after="40" w:before="40" w:line="320"/>
        <w:jc w:val="both"/>
      </w:pPr>
      <w:r>
        <w:rPr>
          <w:rFonts w:ascii="Cairo" w:cs="Cairo" w:eastAsia="Cairo" w:hAnsi="Cairo"/>
          <w:sz w:val="22"/>
          <w:szCs w:val="22"/>
          <w:rtl/>
        </w:rPr>
        <w:t xml:space="preserve">جميع الأسعار الواردة بهذا العقد غير شاملة ضريبة القيمة المضافة إن وُجدت.</w:t>
      </w:r>
    </w:p>
    <w:p>
      <w:pPr>
        <w:pStyle w:val="ListParagraph"/>
        <w:numPr>
          <w:ilvl w:val="0"/>
          <w:numId w:val="2"/>
        </w:numPr>
        <w:bidi/>
        <w:spacing w:after="40" w:before="40" w:line="320"/>
        <w:jc w:val="both"/>
      </w:pPr>
      <w:r>
        <w:rPr>
          <w:rFonts w:ascii="Cairo" w:cs="Cairo" w:eastAsia="Cairo" w:hAnsi="Cairo"/>
          <w:sz w:val="22"/>
          <w:szCs w:val="22"/>
          <w:rtl/>
        </w:rPr>
        <w:t xml:space="preserve">يُحرَّر هذا العقد من نسختين أصليتين، بيد كلّ طرفٍ نسخة للعمل بموجبها عند الحاجة.</w:t>
      </w:r>
    </w:p>
    <w:p>
      <w:pPr>
        <w:pStyle w:val="ListParagraph"/>
        <w:numPr>
          <w:ilvl w:val="0"/>
          <w:numId w:val="2"/>
        </w:numPr>
        <w:bidi/>
        <w:spacing w:after="40" w:before="40" w:line="320"/>
        <w:jc w:val="both"/>
      </w:pPr>
      <w:r>
        <w:rPr>
          <w:rFonts w:ascii="Cairo" w:cs="Cairo" w:eastAsia="Cairo" w:hAnsi="Cairo"/>
          <w:sz w:val="22"/>
          <w:szCs w:val="22"/>
          <w:rtl/>
        </w:rPr>
        <w:t xml:space="preserve">عند تعارض اللغة، تسود النسخة العربية الموقَّعة على أيّ ترجمةٍ إلى لغاتٍ أخرى.</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التوقيع والاعتماد</w:t>
      </w:r>
    </w:p>
    <w:p>
      <w:pPr>
        <w:bidi/>
        <w:spacing w:after="80" w:before="80" w:line="320"/>
        <w:jc w:val="both"/>
      </w:pPr>
      <w:r>
        <w:rPr>
          <w:rFonts w:ascii="Cairo" w:cs="Cairo" w:eastAsia="Cairo" w:hAnsi="Cairo"/>
          <w:b w:val="false"/>
          <w:bCs w:val="false"/>
          <w:color w:val="000000"/>
          <w:sz w:val="22"/>
          <w:szCs w:val="22"/>
          <w:rtl/>
        </w:rPr>
        <w:t xml:space="preserve">وإشهادًا بما تقدَّم، وقَّع ممثِّلا الطرفين على هذا العقد في المكان والتاريخ المذكورَيْن أعلاه، بعد قراءته وفهم جميع بنوده وملاحقه قراءةً متأنيةً.</w:t>
      </w:r>
    </w:p>
    <w:p>
      <w:pPr>
        <w:bidi/>
        <w:spacing w:after="260" w:before="26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rPr>
          <w:tblHeader/>
        </w:trPr>
        <w:tc>
          <w:tcPr>
            <w:tcW w:type="dxa" w:w="4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الطرف الأول — إيزي جاز</w:t>
            </w:r>
          </w:p>
        </w:tc>
        <w:tc>
          <w:tcPr>
            <w:tcW w:type="dxa" w:w="4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الطرف الثاني — الموزع المعتمد</w:t>
            </w:r>
          </w:p>
        </w:tc>
      </w:tr>
      <w:tr>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الاسم: .....................................
الصفة: ...................................
التوقيع: .................................
التاريخ: .................................
الختم الرسمي:</w:t>
            </w:r>
          </w:p>
        </w:tc>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الاسم: .....................................
الصفة: ...................................
التوقيع: .................................
التاريخ: .................................
الختم الرسمي:</w:t>
            </w:r>
          </w:p>
        </w:tc>
      </w:tr>
    </w:tbl>
    <w:p>
      <w:pPr>
        <w:bidi/>
        <w:spacing w:after="260" w:before="260"/>
      </w:pPr>
      <w:r>
        <w:rPr>
          <w:rFonts w:ascii="Cairo" w:cs="Cairo" w:eastAsia="Cairo" w:hAnsi="Cairo"/>
        </w:rPr>
        <w:t xml:space="preserve"/>
      </w:r>
    </w:p>
    <w:p>
      <w:pPr>
        <w:pStyle w:val="Heading3"/>
        <w:bidi/>
        <w:spacing w:after="100" w:before="200"/>
        <w:jc w:val="right"/>
      </w:pPr>
      <w:r>
        <w:rPr>
          <w:rFonts w:ascii="Cairo" w:cs="Cairo" w:eastAsia="Cairo" w:hAnsi="Cairo"/>
          <w:b/>
          <w:bCs/>
          <w:color w:val="0F2A47"/>
          <w:sz w:val="24"/>
          <w:szCs w:val="24"/>
          <w:rtl/>
        </w:rPr>
        <w:t xml:space="preserve">شهود التوقيع</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الشاهد الأول:
الاسم: ...............................
الرقم القومي: .....................
التوقيع: .............................</w:t>
            </w:r>
          </w:p>
        </w:tc>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الشاهد الثاني:
الاسم: ...............................
الرقم القومي: .....................
التوقيع: .............................</w:t>
            </w:r>
          </w:p>
        </w:tc>
      </w:tr>
    </w:tbl>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(أ) — هيكل فئات التوزيع المعتمدة</w:t>
      </w:r>
    </w:p>
    <w:p>
      <w:pPr>
        <w:bidi/>
        <w:spacing w:after="80" w:before="80" w:line="320"/>
        <w:jc w:val="both"/>
      </w:pPr>
      <w:r>
        <w:rPr>
          <w:rFonts w:ascii="Cairo" w:cs="Cairo" w:eastAsia="Cairo" w:hAnsi="Cairo"/>
          <w:b w:val="false"/>
          <w:bCs w:val="false"/>
          <w:color w:val="000000"/>
          <w:sz w:val="22"/>
          <w:szCs w:val="22"/>
          <w:rtl/>
        </w:rPr>
        <w:t xml:space="preserve">يوضح هذا الملحق الفئات الأربع المعتمدة في برنامج إيزي جاز للموزعين، وشروط التأهُّل والالتزامات المالية المرتبطة بكلٍّ منها. تُعدّ هذه الفئات سارية اعتبارًا من تاريخ توقيع العقد، ويجوز لإيزي جاز مراجعتها سنويًّا بإخطارٍ كتابيٍّ قبل (60) يومًا من تطبيق أيّ تعديل.</w:t>
      </w:r>
    </w:p>
    <w:p>
      <w:pPr>
        <w:bidi/>
        <w:spacing w:after="120" w:before="120"/>
      </w:pPr>
      <w:r>
        <w:rPr>
          <w:rFonts w:ascii="Cairo" w:cs="Cairo" w:eastAsia="Cairo" w:hAnsi="Cairo"/>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1700"/>
        <w:gridCol w:w="1875"/>
        <w:gridCol w:w="1875"/>
        <w:gridCol w:w="1875"/>
        <w:gridCol w:w="1875"/>
      </w:tblGrid>
      <w:tr>
        <w:trPr>
          <w:tblHeader/>
        </w:trPr>
        <w:tc>
          <w:tcPr>
            <w:tcW w:type="dxa" w:w="17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Entry</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Tier C</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Tier B</w:t>
            </w:r>
          </w:p>
        </w:tc>
        <w:tc>
          <w:tcPr>
            <w:tcW w:type="dxa" w:w="1875"/>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Tier A Elite</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عدد الأسطوانات</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25,000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50,000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100,000</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نسبة الضمان</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7%</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قيمة الضمان (ج.م)</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8,728,060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15,858,975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20,695,400</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28,343,700</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خصم التوريد</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6% + 1.5%</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8% + 2%</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 + 5%</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أولوية التغطية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قياسية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متوسطة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مرتفعة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1E7A3C"/>
                <w:sz w:val="22"/>
                <w:szCs w:val="22"/>
                <w:rtl/>
              </w:rPr>
              <w:t xml:space="preserve">قصوى</w:t>
            </w:r>
          </w:p>
        </w:tc>
      </w:tr>
      <w:tr>
        <w:tc>
          <w:tcPr>
            <w:tcW w:type="dxa" w:w="17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دعم تسويقي</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مواد رقمية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مواد + محلّي</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حملة مشتركة</w:t>
            </w:r>
          </w:p>
        </w:tc>
        <w:tc>
          <w:tcPr>
            <w:tcW w:type="dxa" w:w="1875"/>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حملة وطنية</w:t>
            </w:r>
          </w:p>
        </w:tc>
      </w:tr>
    </w:tbl>
    <w:p>
      <w:pPr>
        <w:bidi/>
        <w:spacing w:after="160" w:before="160"/>
      </w:pPr>
      <w:r>
        <w:rPr>
          <w:rFonts w:ascii="Cairo" w:cs="Cairo" w:eastAsia="Cairo" w:hAnsi="Cairo"/>
        </w:rPr>
        <w:t xml:space="preserve"/>
      </w:r>
    </w:p>
    <w:p>
      <w:pPr>
        <w:bidi/>
        <w:spacing w:after="80" w:before="80" w:line="320"/>
        <w:jc w:val="both"/>
      </w:pPr>
      <w:r>
        <w:rPr>
          <w:rFonts w:ascii="Cairo" w:cs="Cairo" w:eastAsia="Cairo" w:hAnsi="Cairo"/>
          <w:b/>
          <w:bCs/>
          <w:color w:val="0F2A47"/>
          <w:sz w:val="24"/>
          <w:szCs w:val="24"/>
          <w:rtl/>
        </w:rPr>
        <w:t xml:space="preserve">الملاحظات التنفيذية:</w:t>
      </w:r>
    </w:p>
    <w:p>
      <w:pPr>
        <w:pStyle w:val="ListParagraph"/>
        <w:numPr>
          <w:ilvl w:val="0"/>
          <w:numId w:val="2"/>
        </w:numPr>
        <w:bidi/>
        <w:spacing w:after="40" w:before="40" w:line="320"/>
        <w:jc w:val="both"/>
      </w:pPr>
      <w:r>
        <w:rPr>
          <w:rFonts w:ascii="Cairo" w:cs="Cairo" w:eastAsia="Cairo" w:hAnsi="Cairo"/>
          <w:sz w:val="22"/>
          <w:szCs w:val="22"/>
          <w:rtl/>
        </w:rPr>
        <w:t xml:space="preserve">نسبة الضمان محسوبة على إجمالي قيمة الأسطوانات المسلَّمة بسعر التوريد، وتُسجَّل رهنًا تجاريًّا وفقًا للمادة السادسة.</w:t>
      </w:r>
    </w:p>
    <w:p>
      <w:pPr>
        <w:pStyle w:val="ListParagraph"/>
        <w:numPr>
          <w:ilvl w:val="0"/>
          <w:numId w:val="2"/>
        </w:numPr>
        <w:bidi/>
        <w:spacing w:after="40" w:before="40" w:line="320"/>
        <w:jc w:val="both"/>
      </w:pPr>
      <w:r>
        <w:rPr>
          <w:rFonts w:ascii="Cairo" w:cs="Cairo" w:eastAsia="Cairo" w:hAnsi="Cairo"/>
          <w:sz w:val="22"/>
          <w:szCs w:val="22"/>
          <w:rtl/>
        </w:rPr>
        <w:t xml:space="preserve">خصم التوريد يتكوّن من جزءين: خصم أساسي + حافز أداءٍ تراكميٍّ يُستحقّ عند بلوغ (3.5) عملية إعادة تعبئة لكل أسطوانةٍ ربع سنويًّا.</w:t>
      </w:r>
    </w:p>
    <w:p>
      <w:pPr>
        <w:pStyle w:val="ListParagraph"/>
        <w:numPr>
          <w:ilvl w:val="0"/>
          <w:numId w:val="2"/>
        </w:numPr>
        <w:bidi/>
        <w:spacing w:after="40" w:before="40" w:line="320"/>
        <w:jc w:val="both"/>
      </w:pPr>
      <w:r>
        <w:rPr>
          <w:rFonts w:ascii="Cairo" w:cs="Cairo" w:eastAsia="Cairo" w:hAnsi="Cairo"/>
          <w:sz w:val="22"/>
          <w:szCs w:val="22"/>
          <w:rtl/>
        </w:rPr>
        <w:t xml:space="preserve">الترقية بين الفئات مسموحة بناءً على طلب الموزع وتقييم الأداء، ويُعدَّل الضمان والالتزامات تناسبيًّا.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(ب) — جدول الأسعار الرسمية</w:t>
      </w:r>
    </w:p>
    <w:p>
      <w:pPr>
        <w:pStyle w:val="Heading2"/>
        <w:bidi/>
        <w:spacing w:after="140" w:before="260"/>
        <w:jc w:val="right"/>
      </w:pPr>
      <w:r>
        <w:rPr>
          <w:rFonts w:ascii="Cairo" w:cs="Cairo" w:eastAsia="Cairo" w:hAnsi="Cairo"/>
          <w:b/>
          <w:bCs/>
          <w:color w:val="1E7A3C"/>
          <w:sz w:val="26"/>
          <w:szCs w:val="26"/>
          <w:rtl/>
        </w:rPr>
        <w:t xml:space="preserve">ب.1  أسعار التوريد من إيزي جاز للموزع</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Home</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EzyGas Premium</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توريد الأسطوانة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4,499</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5,499</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سعر إعادة التعبئة (ج.م)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430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549</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نوع الأسطوانة</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Type IV مركّبة</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Type IV مركّبة — Premium</w:t>
            </w:r>
          </w:p>
        </w:tc>
      </w:tr>
    </w:tbl>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ب.2  أسعار البيع للجمهور — الموقع الإلكتروني المصدر الأوحد</w:t>
      </w:r>
    </w:p>
    <w:p>
      <w:pPr>
        <w:bidi/>
        <w:spacing w:after="80" w:before="80" w:line="320"/>
        <w:jc w:val="both"/>
      </w:pPr>
      <w:r>
        <w:rPr>
          <w:rFonts w:ascii="Cairo" w:cs="Cairo" w:eastAsia="Cairo" w:hAnsi="Cairo"/>
          <w:b w:val="false"/>
          <w:bCs w:val="false"/>
          <w:color w:val="0F2A47"/>
          <w:sz w:val="22"/>
          <w:szCs w:val="22"/>
          <w:rtl/>
        </w:rPr>
        <w:t xml:space="preserve">تُنشَر أسعار البيع للمستهلك النهائي على الموقع الرسمي www.ezy-gas.com وتُعدّ المرجع الحصري والملزِم. أيّ بيعٍ خارج هذه الأسعار يُعدّ إخلالًا جوهريًّا وفقًا للمادة العاشرة والملحق (هـ).</w:t>
      </w:r>
    </w:p>
    <w:p>
      <w:pPr>
        <w:bidi/>
        <w:spacing w:after="80" w:before="8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ب.3  صلاحية الأسعار وآلية التعديل</w:t>
      </w:r>
    </w:p>
    <w:p>
      <w:pPr>
        <w:pStyle w:val="ListParagraph"/>
        <w:numPr>
          <w:ilvl w:val="0"/>
          <w:numId w:val="2"/>
        </w:numPr>
        <w:bidi/>
        <w:spacing w:after="40" w:before="40" w:line="320"/>
        <w:jc w:val="both"/>
      </w:pPr>
      <w:r>
        <w:rPr>
          <w:rFonts w:ascii="Cairo" w:cs="Cairo" w:eastAsia="Cairo" w:hAnsi="Cairo"/>
          <w:sz w:val="22"/>
          <w:szCs w:val="22"/>
          <w:rtl/>
        </w:rPr>
        <w:t xml:space="preserve">تسري الأسعار الواردة في هذا الملحق اعتبارًا من تاريخ توقيع العقد ولمدة اثني عشر (12) شهرًا ما لم يُتَّفق على غير ذلك.</w:t>
      </w:r>
    </w:p>
    <w:p>
      <w:pPr>
        <w:pStyle w:val="ListParagraph"/>
        <w:numPr>
          <w:ilvl w:val="0"/>
          <w:numId w:val="2"/>
        </w:numPr>
        <w:bidi/>
        <w:spacing w:after="40" w:before="40" w:line="320"/>
        <w:jc w:val="both"/>
      </w:pPr>
      <w:r>
        <w:rPr>
          <w:rFonts w:ascii="Cairo" w:cs="Cairo" w:eastAsia="Cairo" w:hAnsi="Cairo"/>
          <w:sz w:val="22"/>
          <w:szCs w:val="22"/>
          <w:rtl/>
        </w:rPr>
        <w:t xml:space="preserve">أيّ تعديلٍ في الأسعار يُعالَج وفقًا للمادة السابعة، ويُعلَن بإشعارٍ مكتوبٍ قبل (30) يومًا من سريانه.</w:t>
      </w:r>
    </w:p>
    <w:p>
      <w:pPr>
        <w:pStyle w:val="ListParagraph"/>
        <w:numPr>
          <w:ilvl w:val="0"/>
          <w:numId w:val="2"/>
        </w:numPr>
        <w:bidi/>
        <w:spacing w:after="40" w:before="40" w:line="320"/>
        <w:jc w:val="both"/>
      </w:pPr>
      <w:r>
        <w:rPr>
          <w:rFonts w:ascii="Cairo" w:cs="Cairo" w:eastAsia="Cairo" w:hAnsi="Cairo"/>
          <w:sz w:val="22"/>
          <w:szCs w:val="22"/>
          <w:rtl/>
        </w:rPr>
        <w:t xml:space="preserve">في حال تقلُّب سعر الصرف بما يتجاوز عتبة (57–58) جنيه مصري للدولار الأمريكي، يجوز لإيزي جاز فتح باب المراجعة الاستثنائية بعد إخطار الموزعين.</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(ج) — جدول رسوم التوصيل والمعالجة</w:t>
      </w:r>
    </w:p>
    <w:p>
      <w:pPr>
        <w:pStyle w:val="Heading2"/>
        <w:bidi/>
        <w:spacing w:after="140" w:before="260"/>
        <w:jc w:val="right"/>
      </w:pPr>
      <w:r>
        <w:rPr>
          <w:rFonts w:ascii="Cairo" w:cs="Cairo" w:eastAsia="Cairo" w:hAnsi="Cairo"/>
          <w:b/>
          <w:bCs/>
          <w:color w:val="1E7A3C"/>
          <w:sz w:val="26"/>
          <w:szCs w:val="26"/>
          <w:rtl/>
        </w:rPr>
        <w:t xml:space="preserve">ج.1  رسوم التوصيل — EzyGas Home</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النطاق الجغرافي</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رسوم التوصيل (ج.م)</w:t>
            </w:r>
          </w:p>
        </w:tc>
        <w:tc>
          <w:tcPr>
            <w:tcW w:type="dxa" w:w="3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المدة القصوى للتوصيل</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حتى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50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24 ساعة</w:t>
            </w:r>
          </w:p>
        </w:tc>
      </w:tr>
      <w:tr>
        <w:tc>
          <w:tcPr>
            <w:tcW w:type="dxa" w:w="30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أكثر من 10 كم</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w:t>
            </w:r>
          </w:p>
        </w:tc>
        <w:tc>
          <w:tcPr>
            <w:tcW w:type="dxa" w:w="3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48 ساعة</w:t>
            </w:r>
          </w:p>
        </w:tc>
      </w:tr>
    </w:tbl>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ج.2  رسوم التوصيل — EzyGas Premium</w:t>
      </w:r>
    </w:p>
    <w:p>
      <w:pPr>
        <w:bidi/>
        <w:spacing w:after="80" w:before="80" w:line="320"/>
        <w:jc w:val="both"/>
      </w:pPr>
      <w:r>
        <w:rPr>
          <w:rFonts w:ascii="Cairo" w:cs="Cairo" w:eastAsia="Cairo" w:hAnsi="Cairo"/>
          <w:b w:val="false"/>
          <w:bCs w:val="false"/>
          <w:color w:val="0F2A47"/>
          <w:sz w:val="22"/>
          <w:szCs w:val="22"/>
          <w:rtl/>
        </w:rPr>
        <w:t xml:space="preserve">تشمل خدمة Premium توصيلًا خلال (3) ساعات في نطاق (10) كم من مركز التوزيع دون رسومٍ إضافية، وقد تمّ تضمين قيمة التوصيل في سعر إعادة التعبئة (549 ج.م). لا يجوز للموزع فرض أيّ رسومٍ إضافيةٍ على خدمة Premium داخل النطاق القياسي.</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ج.3  رسوم المعالجة لصالح إيزي جاز</w:t>
      </w:r>
    </w:p>
    <w:p>
      <w:pPr>
        <w:pStyle w:val="ListParagraph"/>
        <w:numPr>
          <w:ilvl w:val="0"/>
          <w:numId w:val="2"/>
        </w:numPr>
        <w:bidi/>
        <w:spacing w:after="40" w:before="40" w:line="320"/>
        <w:jc w:val="both"/>
      </w:pPr>
      <w:r>
        <w:rPr>
          <w:rFonts w:ascii="Cairo" w:cs="Cairo" w:eastAsia="Cairo" w:hAnsi="Cairo"/>
          <w:sz w:val="22"/>
          <w:szCs w:val="22"/>
          <w:rtl/>
        </w:rPr>
        <w:t xml:space="preserve">تستحقّ إيزي جاز رسوم معالجةٍ بنسبة خمسةَ عشرَ بالمئة (15%) من إجمالي رسوم التوصيل التي يحصِّلها الموزع.</w:t>
      </w:r>
    </w:p>
    <w:p>
      <w:pPr>
        <w:pStyle w:val="ListParagraph"/>
        <w:numPr>
          <w:ilvl w:val="0"/>
          <w:numId w:val="2"/>
        </w:numPr>
        <w:bidi/>
        <w:spacing w:after="40" w:before="40" w:line="320"/>
        <w:jc w:val="both"/>
      </w:pPr>
      <w:r>
        <w:rPr>
          <w:rFonts w:ascii="Cairo" w:cs="Cairo" w:eastAsia="Cairo" w:hAnsi="Cairo"/>
          <w:sz w:val="22"/>
          <w:szCs w:val="22"/>
          <w:rtl/>
        </w:rPr>
        <w:t xml:space="preserve">تُخصَم رسوم المعالجة أسبوعيًّا من حساب الموزع وفق مبدأ السجل الملحَق فقط (Append-Only Ledger) الذي لا يقبل الحذف أو التعديل الرجعي.</w:t>
      </w:r>
    </w:p>
    <w:p>
      <w:pPr>
        <w:pStyle w:val="ListParagraph"/>
        <w:numPr>
          <w:ilvl w:val="0"/>
          <w:numId w:val="2"/>
        </w:numPr>
        <w:bidi/>
        <w:spacing w:after="40" w:before="40" w:line="320"/>
        <w:jc w:val="both"/>
      </w:pPr>
      <w:r>
        <w:rPr>
          <w:rFonts w:ascii="Cairo" w:cs="Cairo" w:eastAsia="Cairo" w:hAnsi="Cairo"/>
          <w:sz w:val="22"/>
          <w:szCs w:val="22"/>
          <w:rtl/>
        </w:rPr>
        <w:t xml:space="preserve">يُرسَل كشف المعالجة للموزع كل يوم أحدٍ من كل أسبوع، ويُسوَّى ماليًّا كل خميس.</w:t>
      </w:r>
    </w:p>
    <w:p>
      <w:pPr>
        <w:pStyle w:val="ListParagraph"/>
        <w:numPr>
          <w:ilvl w:val="0"/>
          <w:numId w:val="2"/>
        </w:numPr>
        <w:bidi/>
        <w:spacing w:after="40" w:before="40" w:line="320"/>
        <w:jc w:val="both"/>
      </w:pPr>
      <w:r>
        <w:rPr>
          <w:rFonts w:ascii="Cairo" w:cs="Cairo" w:eastAsia="Cairo" w:hAnsi="Cairo"/>
          <w:sz w:val="22"/>
          <w:szCs w:val="22"/>
          <w:rtl/>
        </w:rPr>
        <w:t xml:space="preserve">أيّ اعتراضٍ على كشف المعالجة يُقدَّم كتابيًّا خلال (7) أيام من استلامه، وإلا اعتُبر مقبولًا نهائيًّا.</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(د) — الحدود الشهرية الدنيا لأداء الموزع</w:t>
      </w:r>
    </w:p>
    <w:p>
      <w:pPr>
        <w:bidi/>
        <w:spacing w:after="80" w:before="80" w:line="320"/>
        <w:jc w:val="both"/>
      </w:pPr>
      <w:r>
        <w:rPr>
          <w:rFonts w:ascii="Cairo" w:cs="Cairo" w:eastAsia="Cairo" w:hAnsi="Cairo"/>
          <w:b/>
          <w:bCs/>
          <w:color w:val="0F2A47"/>
          <w:sz w:val="22"/>
          <w:szCs w:val="22"/>
          <w:rtl/>
        </w:rPr>
        <w:t xml:space="preserve">تُعدّ هذه الحدود التزامًا ماديًّا لا تنصُّليًّا، ويُفعِّل الإخلال بها التدرُّج التأديبي المنصوص عليه بالمادة العشرين ومصفوفة الجزاءات بالملحق (هـ).</w:t>
      </w:r>
    </w:p>
    <w:p>
      <w:pPr>
        <w:bidi/>
        <w:spacing w:after="120" w:before="120"/>
      </w:pPr>
      <w:r>
        <w:rPr>
          <w:rFonts w:ascii="Cairo" w:cs="Cairo" w:eastAsia="Cairo" w:hAnsi="Cairo"/>
        </w:rPr>
        <w:t xml:space="preserve"/>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2300"/>
        <w:gridCol w:w="2300"/>
      </w:tblGrid>
      <w:tr>
        <w:trPr>
          <w:tblHeader/>
        </w:trPr>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الفئة</w:t>
            </w:r>
          </w:p>
        </w:tc>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 بيع أسطوانات/شهر</w:t>
            </w:r>
          </w:p>
        </w:tc>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الحد الأدنى — إعادة تعبئة/شهر</w:t>
            </w:r>
          </w:p>
        </w:tc>
        <w:tc>
          <w:tcPr>
            <w:tcW w:type="dxa" w:w="23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تقييم الأداء الربع سنوي</w:t>
            </w:r>
          </w:p>
        </w:tc>
      </w:tr>
      <w:tr>
        <w:tc>
          <w:tcPr>
            <w:tcW w:type="dxa" w:w="23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Entry</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150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مراجعة تلقائية</w:t>
            </w:r>
          </w:p>
        </w:tc>
      </w:tr>
      <w:tr>
        <w:tc>
          <w:tcPr>
            <w:tcW w:type="dxa" w:w="23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C</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400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مراجعة تلقائية</w:t>
            </w:r>
          </w:p>
        </w:tc>
      </w:tr>
      <w:tr>
        <w:tc>
          <w:tcPr>
            <w:tcW w:type="dxa" w:w="23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Tier B</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750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2,000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مراجعة + مقابلة</w:t>
            </w:r>
          </w:p>
        </w:tc>
      </w:tr>
      <w:tr>
        <w:tc>
          <w:tcPr>
            <w:tcW w:type="dxa" w:w="2300"/>
            <w:tcBorders>
              <w:top w:val="single" w:color="D1D5DB" w:sz="6"/>
              <w:left w:val="single" w:color="D1D5DB" w:sz="6"/>
              <w:bottom w:val="single" w:color="D1D5DB" w:sz="6"/>
              <w:right w:val="single" w:color="D1D5DB" w:sz="6"/>
            </w:tcBorders>
            <w:shd w:fill="E8F5EE" w:color="auto" w:val="clear"/>
            <w:tcMar>
              <w:top w:type="dxa" w:w="100"/>
              <w:left w:type="dxa" w:w="120"/>
              <w:bottom w:type="dxa" w:w="100"/>
              <w:right w:type="dxa" w:w="120"/>
            </w:tcMar>
          </w:tcPr>
          <w:p>
            <w:pPr>
              <w:bidi/>
              <w:spacing w:after="40" w:before="40"/>
              <w:jc w:val="center"/>
            </w:pPr>
            <w:r>
              <w:rPr>
                <w:rFonts w:ascii="Cairo" w:cs="Cairo" w:eastAsia="Cairo" w:hAnsi="Cairo"/>
                <w:b/>
                <w:bCs/>
                <w:color w:val="1E7A3C"/>
                <w:sz w:val="22"/>
                <w:szCs w:val="22"/>
                <w:rtl/>
              </w:rPr>
              <w:t xml:space="preserve">Tier A Elite</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1,500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4,000</w:t>
            </w:r>
          </w:p>
        </w:tc>
        <w:tc>
          <w:tcPr>
            <w:tcW w:type="dxa" w:w="23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مراجعة تنفيذية</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د.1  احتساب الأداء</w:t>
      </w:r>
    </w:p>
    <w:p>
      <w:pPr>
        <w:pStyle w:val="ListParagraph"/>
        <w:numPr>
          <w:ilvl w:val="0"/>
          <w:numId w:val="2"/>
        </w:numPr>
        <w:bidi/>
        <w:spacing w:after="40" w:before="40" w:line="320"/>
        <w:jc w:val="both"/>
      </w:pPr>
      <w:r>
        <w:rPr>
          <w:rFonts w:ascii="Cairo" w:cs="Cairo" w:eastAsia="Cairo" w:hAnsi="Cairo"/>
          <w:sz w:val="22"/>
          <w:szCs w:val="22"/>
          <w:rtl/>
        </w:rPr>
        <w:t xml:space="preserve">يُحتسَب الأداء الشهري على أساس المعاملات المسجَّلة على المنصة الإلكترونية لإيزي جاز، ولا يُعتدّ بأيّ معاملةٍ خارجها.</w:t>
      </w:r>
    </w:p>
    <w:p>
      <w:pPr>
        <w:pStyle w:val="ListParagraph"/>
        <w:numPr>
          <w:ilvl w:val="0"/>
          <w:numId w:val="2"/>
        </w:numPr>
        <w:bidi/>
        <w:spacing w:after="40" w:before="40" w:line="320"/>
        <w:jc w:val="both"/>
      </w:pPr>
      <w:r>
        <w:rPr>
          <w:rFonts w:ascii="Cairo" w:cs="Cairo" w:eastAsia="Cairo" w:hAnsi="Cairo"/>
          <w:sz w:val="22"/>
          <w:szCs w:val="22"/>
          <w:rtl/>
        </w:rPr>
        <w:t xml:space="preserve">يُقاس الأداء الربع سنوي بوصفه متوسط الأشهر الثلاثة؛ فإذا انخفض المتوسط عن (80%) من الحد الأدنى المقرَّر يُفعَّل المستوى الأول من مصفوفة الجزاءات.</w:t>
      </w:r>
    </w:p>
    <w:p>
      <w:pPr>
        <w:pStyle w:val="ListParagraph"/>
        <w:numPr>
          <w:ilvl w:val="0"/>
          <w:numId w:val="2"/>
        </w:numPr>
        <w:bidi/>
        <w:spacing w:after="40" w:before="40" w:line="320"/>
        <w:jc w:val="both"/>
      </w:pPr>
      <w:r>
        <w:rPr>
          <w:rFonts w:ascii="Cairo" w:cs="Cairo" w:eastAsia="Cairo" w:hAnsi="Cairo"/>
          <w:sz w:val="22"/>
          <w:szCs w:val="22"/>
          <w:rtl/>
        </w:rPr>
        <w:t xml:space="preserve">إذا انخفض متوسط ثلاثة أشهرٍ متتالية عن (60%) من الحد الأدنى يُفعَّل المستوى الثاني فورًا دون الحاجة إلى إخطارٍ تمهيدي.</w:t>
      </w:r>
    </w:p>
    <w:p>
      <w:pPr>
        <w:pStyle w:val="ListParagraph"/>
        <w:numPr>
          <w:ilvl w:val="0"/>
          <w:numId w:val="2"/>
        </w:numPr>
        <w:bidi/>
        <w:spacing w:after="40" w:before="40" w:line="320"/>
        <w:jc w:val="both"/>
      </w:pPr>
      <w:r>
        <w:rPr>
          <w:rFonts w:ascii="Cairo" w:cs="Cairo" w:eastAsia="Cairo" w:hAnsi="Cairo"/>
          <w:sz w:val="22"/>
          <w:szCs w:val="22"/>
          <w:rtl/>
        </w:rPr>
        <w:t xml:space="preserve">تُعلَّق الأهداف تناسبيًّا في حالات القوة القاهرة أو تأخُّر التوريد من إيزي جاز وفقًا للمادة السابعة.</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(هـ) — مصفوفة الجزاءات والتعويضات المتفَق عليها</w:t>
      </w:r>
    </w:p>
    <w:p>
      <w:pPr>
        <w:bidi/>
        <w:spacing w:after="80" w:before="80" w:line="320"/>
        <w:jc w:val="both"/>
      </w:pPr>
      <w:r>
        <w:rPr>
          <w:rFonts w:ascii="Cairo" w:cs="Cairo" w:eastAsia="Cairo" w:hAnsi="Cairo"/>
          <w:b/>
          <w:bCs/>
          <w:color w:val="0F2A47"/>
          <w:sz w:val="22"/>
          <w:szCs w:val="22"/>
          <w:rtl/>
        </w:rPr>
        <w:t xml:space="preserve">يُعدّ هذا الملحق جزءًا لا يتجزَّأ من العقد، وتُعتبَر المبالغ الواردة فيه تعويضاتٍ اتفاقيةً (شرط جزائي) وفقًا لأحكام القانون المدني المصري، ولا تحتاج إلى إثبات الضرر الفعلي. تُطبَّق هذه الجزاءات وفق التدرُّج المنصوص عليه بالمادة العشرين ما لم يُنصَّ على غير ذلك صراحةً.</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هـ.1  المخالفات السعرية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البيع بسعرٍ أعلى من الأسعار الرسمية — واقعة أولى</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50,000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تكرار المخالفة السعرية — واقعة ثانية خلال 12 شهر</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10 أيام</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البيع بسعرٍ أدنى من الأسعار المعلنة (دمبينغ)</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30,000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7 أيام</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فرض رسوم توصيلٍ غير مصرَّح بها</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ضعف الرسم + 10,000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هـ.2  مخالفات النطاق الجغرافي والحصرية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البيع خارج النطاق الجغرافي المعتمد</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 + رد العائدات</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تكرار البيع خارج النطاق</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مصادرة الرهن التجاري جزئيًّا</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هـ.3  التوزيع غير المرخَّص ومنتجات المنافسين</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توزيع أسطواناتٍ مركّبةٍ منافسة خلال سريان العقد</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5,000,000 + إنهاء + مصادرة كاملة للرهن</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 — مباشرة</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التعامل بأسطواناتٍ صلبٍ (حديدية) خلال العقد</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 لكل واقعة + إنذار أول</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30 يوم</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تحصيل أسطوانةٍ مركّبةٍ منافسة وتحويلها دون التقيُّد برسم الإيداع (200 ج.م)</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5 أضعاف قيمة الأسطوانة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هـ.4  التعبئة غير المرخَّصة</w:t>
      </w:r>
    </w:p>
    <w:p>
      <w:pPr>
        <w:bidi/>
        <w:spacing w:after="80" w:before="80" w:line="320"/>
        <w:jc w:val="both"/>
      </w:pPr>
      <w:r>
        <w:rPr>
          <w:rFonts w:ascii="Cairo" w:cs="Cairo" w:eastAsia="Cairo" w:hAnsi="Cairo"/>
          <w:b/>
          <w:bCs/>
          <w:color w:val="C0392B"/>
          <w:sz w:val="22"/>
          <w:szCs w:val="22"/>
          <w:rtl/>
        </w:rPr>
        <w:t xml:space="preserve">تُعدّ التعبئة في منشآتٍ غير معتمدة من أخطر أنواع الإخلال لما ينطوي عليها من مخاطر سلامةٍ وسمعةٍ ومخالفة قانون (196 لسنة 2017) بشأن تداول المواد البترولية.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تعبئة الأسطوانات في منشأةٍ غير معتمدة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إبلاغ الجهات الرقابية + مسؤولية جنائية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الثالث — مباشرة</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الخلط مع مصادر غازٍ بترولي مسال خارج شبكة إيزي جاز المعتمدة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1,000,000 لكل واقعة + تعليق فوري</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هـ.5  التلاعب بالهوية الرقمية ومنظومة الأسطوانة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إزالة أو طمس أو استبدال رمز QR</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+ 2,000,000 تعويض + رد الأسطوانات</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 — مباشرة</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تسجيل معاملاتٍ وهميةٍ على المنصة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+ 10 أضعاف قيمة المعاملات الوهمية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تجاوز نسبة الفقد المسموحة (0.5%) دون تبرير</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قيمة الأسطوانات الزائدة × 1.5</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30 يوم</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هـ.6  مخالفات السلامة والتشغيل</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 المالي (ج.م)</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الالتزام بشروط التخزين بالملحق (و)</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10,000 — 50,000</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الإبلاغ عن حادث تشغيلٍ خلال (4) ساعات</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 لكل واقعة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تأخُّر التوصيل عن الوقت المحدَّد — Premium فقط</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100 ج.م لكل طلب متأخر</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بيع أسطوانةٍ لم تجتَز الفحص البصري اليومي</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20,000 لكل وحدة + رد</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هـ.7  مخالفات البيانات والسرية والملكية الفكرية</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إفشاء بياناتٍ سرية أو تشغيلية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500,000 + تعويض الأضرار الفعلية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الثاني/الثالث بحسب الأثر</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فوري</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استخدام بيانات العملاء لأغراضٍ غير مصرَّح بها</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1,000,000 + إلغاء ترخيص المنصة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استخدام العلامة التجارية خلافًا لدليل الهوية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20,000 لكل مادة + إلزام بالسحب</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الأول</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14 يوم</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عدم إزالة العلامة التجارية بعد الإنهاء (30 يوم)</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5,000 ج.م عن كل يوم تأخير</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يومي</w:t>
            </w:r>
          </w:p>
        </w:tc>
      </w:tr>
    </w:tbl>
    <w:p>
      <w:pPr>
        <w:bidi/>
        <w:spacing w:after="140" w:before="14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هـ.8  مخالفات الإخلال الجوهري بالعقد</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2000"/>
        <w:gridCol w:w="1600"/>
      </w:tblGrid>
      <w:tr>
        <w:trPr>
          <w:tblHeader/>
        </w:trPr>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نوع المخالفة</w:t>
            </w:r>
          </w:p>
        </w:tc>
        <w:tc>
          <w:tcPr>
            <w:tcW w:type="dxa" w:w="28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الجزاء</w:t>
            </w:r>
          </w:p>
        </w:tc>
        <w:tc>
          <w:tcPr>
            <w:tcW w:type="dxa" w:w="20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مستوى التصعيد</w:t>
            </w:r>
          </w:p>
        </w:tc>
        <w:tc>
          <w:tcPr>
            <w:tcW w:type="dxa" w:w="16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مدة الإصلاح</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التنازل عن العقد للغير دون موافقة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إنهاء فوري + مصادرة الرهن</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الثالث</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DECEA"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إخلال بشرط عدم المنافسة (12 شهر بعد الإنهاء)</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C0392B"/>
                <w:sz w:val="22"/>
                <w:szCs w:val="22"/>
                <w:rtl/>
              </w:rPr>
              <w:t xml:space="preserve">قيمة الرهن كاملةً كتعويضٍ اتفاقي</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قضائي مباشر</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w:t>
            </w:r>
          </w:p>
        </w:tc>
      </w:tr>
      <w:tr>
        <w:tc>
          <w:tcPr>
            <w:tcW w:type="dxa" w:w="2800"/>
            <w:tcBorders>
              <w:top w:val="single" w:color="D1D5DB" w:sz="6"/>
              <w:left w:val="single" w:color="D1D5DB" w:sz="6"/>
              <w:bottom w:val="single" w:color="D1D5DB" w:sz="6"/>
              <w:right w:val="single" w:color="D1D5DB" w:sz="6"/>
            </w:tcBorders>
            <w:shd w:fill="FEF6E7" w:color="auto" w:val="clear"/>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انخفاض الأداء دون (60%) لثلاثة أشهرٍ متتالية</w:t>
            </w:r>
          </w:p>
        </w:tc>
        <w:tc>
          <w:tcPr>
            <w:tcW w:type="dxa" w:w="28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bCs/>
                <w:color w:val="000000"/>
                <w:sz w:val="22"/>
                <w:szCs w:val="22"/>
                <w:rtl/>
              </w:rPr>
              <w:t xml:space="preserve">تعليق فوري + مراجعة الفئة</w:t>
            </w:r>
          </w:p>
        </w:tc>
        <w:tc>
          <w:tcPr>
            <w:tcW w:type="dxa" w:w="20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الثاني</w:t>
            </w:r>
          </w:p>
        </w:tc>
        <w:tc>
          <w:tcPr>
            <w:tcW w:type="dxa" w:w="16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center"/>
            </w:pPr>
            <w:r>
              <w:rPr>
                <w:rFonts w:ascii="Cairo" w:cs="Cairo" w:eastAsia="Cairo" w:hAnsi="Cairo"/>
                <w:b w:val="false"/>
                <w:bCs w:val="false"/>
                <w:color w:val="000000"/>
                <w:sz w:val="22"/>
                <w:szCs w:val="22"/>
                <w:rtl/>
              </w:rPr>
              <w:t xml:space="preserve">60 يوم</w:t>
            </w:r>
          </w:p>
        </w:tc>
      </w:tr>
    </w:tbl>
    <w:p>
      <w:pPr>
        <w:bidi/>
        <w:spacing w:after="160" w:before="16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هـ.9  آلية التحصيل</w:t>
      </w:r>
    </w:p>
    <w:p>
      <w:pPr>
        <w:pStyle w:val="ListParagraph"/>
        <w:numPr>
          <w:ilvl w:val="0"/>
          <w:numId w:val="2"/>
        </w:numPr>
        <w:bidi/>
        <w:spacing w:after="40" w:before="40" w:line="320"/>
        <w:jc w:val="both"/>
      </w:pPr>
      <w:r>
        <w:rPr>
          <w:rFonts w:ascii="Cairo" w:cs="Cairo" w:eastAsia="Cairo" w:hAnsi="Cairo"/>
          <w:sz w:val="22"/>
          <w:szCs w:val="22"/>
          <w:rtl/>
        </w:rPr>
        <w:t xml:space="preserve">تُحصَّل الجزاءات المالية بهذا الترتيب: (أ) خصم من مستحقات الموزع، (ب) تنفيذ على الرهن التجاري المسجَّل، (ج) تنفيذ عبر مركز التحكيم وفقًا للمادة السابعة والعشرين.</w:t>
      </w:r>
    </w:p>
    <w:p>
      <w:pPr>
        <w:pStyle w:val="ListParagraph"/>
        <w:numPr>
          <w:ilvl w:val="0"/>
          <w:numId w:val="2"/>
        </w:numPr>
        <w:bidi/>
        <w:spacing w:after="40" w:before="40" w:line="320"/>
        <w:jc w:val="both"/>
      </w:pPr>
      <w:r>
        <w:rPr>
          <w:rFonts w:ascii="Cairo" w:cs="Cairo" w:eastAsia="Cairo" w:hAnsi="Cairo"/>
          <w:sz w:val="22"/>
          <w:szCs w:val="22"/>
          <w:rtl/>
        </w:rPr>
        <w:t xml:space="preserve">المستويات: الأول = إنذار مكتوب + تحصيل مالي. الثاني = إنذار + تعليق جزئي + تحصيل. الثالث = إنهاء + تحصيل كامل + استرداد الأصول.</w:t>
      </w:r>
    </w:p>
    <w:p>
      <w:pPr>
        <w:pStyle w:val="ListParagraph"/>
        <w:numPr>
          <w:ilvl w:val="0"/>
          <w:numId w:val="2"/>
        </w:numPr>
        <w:bidi/>
        <w:spacing w:after="40" w:before="40" w:line="320"/>
        <w:jc w:val="both"/>
      </w:pPr>
      <w:r>
        <w:rPr>
          <w:rFonts w:ascii="Cairo" w:cs="Cairo" w:eastAsia="Cairo" w:hAnsi="Cairo"/>
          <w:sz w:val="22"/>
          <w:szCs w:val="22"/>
          <w:rtl/>
        </w:rPr>
        <w:t xml:space="preserve">في الوقائع الموصوفة بأنها "مباشرة" لا تُطبَّق مهلة الإصلاح ويُنتقَل إلى المستوى المقرَّر فورًا دون إخطارٍ تمهيدي.</w:t>
      </w:r>
    </w:p>
    <w:p>
      <w:pPr>
        <w:pStyle w:val="ListParagraph"/>
        <w:numPr>
          <w:ilvl w:val="0"/>
          <w:numId w:val="2"/>
        </w:numPr>
        <w:bidi/>
        <w:spacing w:after="40" w:before="40" w:line="320"/>
        <w:jc w:val="both"/>
      </w:pPr>
      <w:r>
        <w:rPr>
          <w:rFonts w:ascii="Cairo" w:cs="Cairo" w:eastAsia="Cairo" w:hAnsi="Cairo"/>
          <w:sz w:val="22"/>
          <w:szCs w:val="22"/>
          <w:rtl/>
        </w:rPr>
        <w:t xml:space="preserve">لا يُسقِط تطبيق أيّ جزاءٍ في هذه المصفوفة حقّ إيزي جاز في التعويض عن الأضرار الفعلية الزائدة أو في اللجوء إلى الجهات الجنائية عند الاقتضاء.</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(و) — معايير السلامة والتخزين والنقل</w:t>
      </w:r>
    </w:p>
    <w:p>
      <w:pPr>
        <w:bidi/>
        <w:spacing w:after="80" w:before="80" w:line="320"/>
        <w:jc w:val="both"/>
      </w:pPr>
      <w:r>
        <w:rPr>
          <w:rFonts w:ascii="Cairo" w:cs="Cairo" w:eastAsia="Cairo" w:hAnsi="Cairo"/>
          <w:b w:val="false"/>
          <w:bCs w:val="false"/>
          <w:color w:val="0F2A47"/>
          <w:sz w:val="22"/>
          <w:szCs w:val="22"/>
          <w:rtl/>
        </w:rPr>
        <w:t xml:space="preserve">تستند هذه المعايير إلى المواصفة الفنية TG-CG2/26 الصادرة عن Treegas، والمراجع الدولية ISO 11119-3 وISO 11439، بالإضافة إلى اشتراطات الدفاع المدني المصري وقانون (196 لسنة 2017).</w:t>
      </w:r>
    </w:p>
    <w:p>
      <w:pPr>
        <w:bidi/>
        <w:spacing w:after="120" w:before="120"/>
      </w:pPr>
      <w:r>
        <w:rPr>
          <w:rFonts w:ascii="Cairo" w:cs="Cairo" w:eastAsia="Cairo" w:hAnsi="Cairo"/>
        </w:rPr>
        <w:t xml:space="preserve"/>
      </w:r>
    </w:p>
    <w:p>
      <w:pPr>
        <w:pStyle w:val="Heading2"/>
        <w:bidi/>
        <w:spacing w:after="140" w:before="260"/>
        <w:jc w:val="right"/>
      </w:pPr>
      <w:r>
        <w:rPr>
          <w:rFonts w:ascii="Cairo" w:cs="Cairo" w:eastAsia="Cairo" w:hAnsi="Cairo"/>
          <w:b/>
          <w:bCs/>
          <w:color w:val="1E7A3C"/>
          <w:sz w:val="26"/>
          <w:szCs w:val="26"/>
          <w:rtl/>
        </w:rPr>
        <w:t xml:space="preserve">و.1  التخزين</w:t>
      </w:r>
    </w:p>
    <w:p>
      <w:pPr>
        <w:pStyle w:val="ListParagraph"/>
        <w:numPr>
          <w:ilvl w:val="0"/>
          <w:numId w:val="2"/>
        </w:numPr>
        <w:bidi/>
        <w:spacing w:after="40" w:before="40" w:line="320"/>
        <w:jc w:val="both"/>
      </w:pPr>
      <w:r>
        <w:rPr>
          <w:rFonts w:ascii="Cairo" w:cs="Cairo" w:eastAsia="Cairo" w:hAnsi="Cairo"/>
          <w:sz w:val="22"/>
          <w:szCs w:val="22"/>
          <w:rtl/>
        </w:rPr>
        <w:t xml:space="preserve">تخزين الأسطوانات في وضعٍ رأسي حصريًّا، مع تثبيتها ضد السقوط والانقلاب.</w:t>
      </w:r>
    </w:p>
    <w:p>
      <w:pPr>
        <w:pStyle w:val="ListParagraph"/>
        <w:numPr>
          <w:ilvl w:val="0"/>
          <w:numId w:val="2"/>
        </w:numPr>
        <w:bidi/>
        <w:spacing w:after="40" w:before="40" w:line="320"/>
        <w:jc w:val="both"/>
      </w:pPr>
      <w:r>
        <w:rPr>
          <w:rFonts w:ascii="Cairo" w:cs="Cairo" w:eastAsia="Cairo" w:hAnsi="Cairo"/>
          <w:sz w:val="22"/>
          <w:szCs w:val="22"/>
          <w:rtl/>
        </w:rPr>
        <w:t xml:space="preserve">أرضية المستودع أسمنتية مستوية غير قابلةٍ للاشتعال، مع تهويةٍ سفلية وعلوية طبيعية.</w:t>
      </w:r>
    </w:p>
    <w:p>
      <w:pPr>
        <w:pStyle w:val="ListParagraph"/>
        <w:numPr>
          <w:ilvl w:val="0"/>
          <w:numId w:val="2"/>
        </w:numPr>
        <w:bidi/>
        <w:spacing w:after="40" w:before="40" w:line="320"/>
        <w:jc w:val="both"/>
      </w:pPr>
      <w:r>
        <w:rPr>
          <w:rFonts w:ascii="Cairo" w:cs="Cairo" w:eastAsia="Cairo" w:hAnsi="Cairo"/>
          <w:sz w:val="22"/>
          <w:szCs w:val="22"/>
          <w:rtl/>
        </w:rPr>
        <w:t xml:space="preserve">أقصى درجة حرارة تخزين (60) درجة مئوية، وأدنى درجة حرارة (−40) درجة مئوية. تُحفَظ الأسطوانات بعيدًا عن أشعة الشمس المباشرة.</w:t>
      </w:r>
    </w:p>
    <w:p>
      <w:pPr>
        <w:pStyle w:val="ListParagraph"/>
        <w:numPr>
          <w:ilvl w:val="0"/>
          <w:numId w:val="2"/>
        </w:numPr>
        <w:bidi/>
        <w:spacing w:after="40" w:before="40" w:line="320"/>
        <w:jc w:val="both"/>
      </w:pPr>
      <w:r>
        <w:rPr>
          <w:rFonts w:ascii="Cairo" w:cs="Cairo" w:eastAsia="Cairo" w:hAnsi="Cairo"/>
          <w:sz w:val="22"/>
          <w:szCs w:val="22"/>
          <w:rtl/>
        </w:rPr>
        <w:t xml:space="preserve">مسافة أمان لا تقلّ عن (5) أمتار عن أيّ مصدر حرارة أو لهبٍ أو شرارةٍ أو تيارٍ كهربائيٍّ مكشوف.</w:t>
      </w:r>
    </w:p>
    <w:p>
      <w:pPr>
        <w:pStyle w:val="ListParagraph"/>
        <w:numPr>
          <w:ilvl w:val="0"/>
          <w:numId w:val="2"/>
        </w:numPr>
        <w:bidi/>
        <w:spacing w:after="40" w:before="40" w:line="320"/>
        <w:jc w:val="both"/>
      </w:pPr>
      <w:r>
        <w:rPr>
          <w:rFonts w:ascii="Cairo" w:cs="Cairo" w:eastAsia="Cairo" w:hAnsi="Cairo"/>
          <w:sz w:val="22"/>
          <w:szCs w:val="22"/>
          <w:rtl/>
        </w:rPr>
        <w:t xml:space="preserve">فصل الأسطوانات الممتلئة عن الفارغة، وتمييز منطقة الأسطوانات التالفة أو المستردَّة.</w:t>
      </w:r>
    </w:p>
    <w:p>
      <w:pPr>
        <w:pStyle w:val="ListParagraph"/>
        <w:numPr>
          <w:ilvl w:val="0"/>
          <w:numId w:val="2"/>
        </w:numPr>
        <w:bidi/>
        <w:spacing w:after="40" w:before="40" w:line="320"/>
        <w:jc w:val="both"/>
      </w:pPr>
      <w:r>
        <w:rPr>
          <w:rFonts w:ascii="Cairo" w:cs="Cairo" w:eastAsia="Cairo" w:hAnsi="Cairo"/>
          <w:sz w:val="22"/>
          <w:szCs w:val="22"/>
          <w:rtl/>
        </w:rPr>
        <w:t xml:space="preserve">سعة تخزينية قصوى وفق شهادة الدفاع المدني المعتمدة لكل موقع.</w:t>
      </w:r>
    </w:p>
    <w:p>
      <w:pPr>
        <w:pStyle w:val="Heading2"/>
        <w:bidi/>
        <w:spacing w:after="140" w:before="260"/>
        <w:jc w:val="right"/>
      </w:pPr>
      <w:r>
        <w:rPr>
          <w:rFonts w:ascii="Cairo" w:cs="Cairo" w:eastAsia="Cairo" w:hAnsi="Cairo"/>
          <w:b/>
          <w:bCs/>
          <w:color w:val="1E7A3C"/>
          <w:sz w:val="26"/>
          <w:szCs w:val="26"/>
          <w:rtl/>
        </w:rPr>
        <w:t xml:space="preserve">و.2  النقل والمناولة</w:t>
      </w:r>
    </w:p>
    <w:p>
      <w:pPr>
        <w:pStyle w:val="ListParagraph"/>
        <w:numPr>
          <w:ilvl w:val="0"/>
          <w:numId w:val="2"/>
        </w:numPr>
        <w:bidi/>
        <w:spacing w:after="40" w:before="40" w:line="320"/>
        <w:jc w:val="both"/>
      </w:pPr>
      <w:r>
        <w:rPr>
          <w:rFonts w:ascii="Cairo" w:cs="Cairo" w:eastAsia="Cairo" w:hAnsi="Cairo"/>
          <w:sz w:val="22"/>
          <w:szCs w:val="22"/>
          <w:rtl/>
        </w:rPr>
        <w:t xml:space="preserve">النقل حصرًا بمركباتٍ مزوَّدةٍ بطفاياتٍ موافقةٍ للمواصفة، وبتصاريح هيئة تنمية التجارة الداخلية.</w:t>
      </w:r>
    </w:p>
    <w:p>
      <w:pPr>
        <w:pStyle w:val="ListParagraph"/>
        <w:numPr>
          <w:ilvl w:val="0"/>
          <w:numId w:val="2"/>
        </w:numPr>
        <w:bidi/>
        <w:spacing w:after="40" w:before="40" w:line="320"/>
        <w:jc w:val="both"/>
      </w:pPr>
      <w:r>
        <w:rPr>
          <w:rFonts w:ascii="Cairo" w:cs="Cairo" w:eastAsia="Cairo" w:hAnsi="Cairo"/>
          <w:sz w:val="22"/>
          <w:szCs w:val="22"/>
          <w:rtl/>
        </w:rPr>
        <w:t xml:space="preserve">تثبيت الأسطوانات بأحزمةٍ معتمدةٍ؛ يُحظَر الرمي أو الدحرجة أو السحب على الصمام.</w:t>
      </w:r>
    </w:p>
    <w:p>
      <w:pPr>
        <w:pStyle w:val="ListParagraph"/>
        <w:numPr>
          <w:ilvl w:val="0"/>
          <w:numId w:val="2"/>
        </w:numPr>
        <w:bidi/>
        <w:spacing w:after="40" w:before="40" w:line="320"/>
        <w:jc w:val="both"/>
      </w:pPr>
      <w:r>
        <w:rPr>
          <w:rFonts w:ascii="Cairo" w:cs="Cairo" w:eastAsia="Cairo" w:hAnsi="Cairo"/>
          <w:sz w:val="22"/>
          <w:szCs w:val="22"/>
          <w:rtl/>
        </w:rPr>
        <w:t xml:space="preserve">تغطية الصمام بغطاءٍ واقٍ أثناء النقل، وفحصه بصريًّا قبل كل رحلة.</w:t>
      </w:r>
    </w:p>
    <w:p>
      <w:pPr>
        <w:pStyle w:val="ListParagraph"/>
        <w:numPr>
          <w:ilvl w:val="0"/>
          <w:numId w:val="2"/>
        </w:numPr>
        <w:bidi/>
        <w:spacing w:after="40" w:before="40" w:line="320"/>
        <w:jc w:val="both"/>
      </w:pPr>
      <w:r>
        <w:rPr>
          <w:rFonts w:ascii="Cairo" w:cs="Cairo" w:eastAsia="Cairo" w:hAnsi="Cairo"/>
          <w:sz w:val="22"/>
          <w:szCs w:val="22"/>
          <w:rtl/>
        </w:rPr>
        <w:t xml:space="preserve">يُحظَر نقل الأسطوانات مع مواد قابلةٍ للاشتعال أو أكسدةٍ أو أحماض.</w:t>
      </w:r>
    </w:p>
    <w:p>
      <w:pPr>
        <w:pStyle w:val="Heading2"/>
        <w:bidi/>
        <w:spacing w:after="140" w:before="260"/>
        <w:jc w:val="right"/>
      </w:pPr>
      <w:r>
        <w:rPr>
          <w:rFonts w:ascii="Cairo" w:cs="Cairo" w:eastAsia="Cairo" w:hAnsi="Cairo"/>
          <w:b/>
          <w:bCs/>
          <w:color w:val="1E7A3C"/>
          <w:sz w:val="26"/>
          <w:szCs w:val="26"/>
          <w:rtl/>
        </w:rPr>
        <w:t xml:space="preserve">و.3  الفحص البصري اليومي</w:t>
      </w:r>
    </w:p>
    <w:p>
      <w:pPr>
        <w:pStyle w:val="ListParagraph"/>
        <w:numPr>
          <w:ilvl w:val="0"/>
          <w:numId w:val="2"/>
        </w:numPr>
        <w:bidi/>
        <w:spacing w:after="40" w:before="40" w:line="320"/>
        <w:jc w:val="both"/>
      </w:pPr>
      <w:r>
        <w:rPr>
          <w:rFonts w:ascii="Cairo" w:cs="Cairo" w:eastAsia="Cairo" w:hAnsi="Cairo"/>
          <w:sz w:val="22"/>
          <w:szCs w:val="22"/>
          <w:rtl/>
        </w:rPr>
        <w:t xml:space="preserve">قبل بدء التشغيل اليومي: فحص بصريٌّ لكل أسطوانةٍ مخزَّنة — السطح الخارجي، الصمام، القاعدة، علامات الاحتكاك أو الصدم أو الشروخ.</w:t>
      </w:r>
    </w:p>
    <w:p>
      <w:pPr>
        <w:pStyle w:val="ListParagraph"/>
        <w:numPr>
          <w:ilvl w:val="0"/>
          <w:numId w:val="2"/>
        </w:numPr>
        <w:bidi/>
        <w:spacing w:after="40" w:before="40" w:line="320"/>
        <w:jc w:val="both"/>
      </w:pPr>
      <w:r>
        <w:rPr>
          <w:rFonts w:ascii="Cairo" w:cs="Cairo" w:eastAsia="Cairo" w:hAnsi="Cairo"/>
          <w:sz w:val="22"/>
          <w:szCs w:val="22"/>
          <w:rtl/>
        </w:rPr>
        <w:t xml:space="preserve">أيّ أسطوانةٍ تظهر عليها علامات تلفٍ تُحوَّل فورًا إلى منطقة "التالف" ويُحظَر بيعها أو تعبئتها.</w:t>
      </w:r>
    </w:p>
    <w:p>
      <w:pPr>
        <w:pStyle w:val="ListParagraph"/>
        <w:numPr>
          <w:ilvl w:val="0"/>
          <w:numId w:val="2"/>
        </w:numPr>
        <w:bidi/>
        <w:spacing w:after="40" w:before="40" w:line="320"/>
        <w:jc w:val="both"/>
      </w:pPr>
      <w:r>
        <w:rPr>
          <w:rFonts w:ascii="Cairo" w:cs="Cairo" w:eastAsia="Cairo" w:hAnsi="Cairo"/>
          <w:sz w:val="22"/>
          <w:szCs w:val="22"/>
          <w:rtl/>
        </w:rPr>
        <w:t xml:space="preserve">الأسطوانات التالفة تُعاد إلى إيزي جاز خلال (7) أيام لفحصها الفني.</w:t>
      </w:r>
    </w:p>
    <w:p>
      <w:pPr>
        <w:pStyle w:val="Heading2"/>
        <w:bidi/>
        <w:spacing w:after="140" w:before="260"/>
        <w:jc w:val="right"/>
      </w:pPr>
      <w:r>
        <w:rPr>
          <w:rFonts w:ascii="Cairo" w:cs="Cairo" w:eastAsia="Cairo" w:hAnsi="Cairo"/>
          <w:b/>
          <w:bCs/>
          <w:color w:val="1E7A3C"/>
          <w:sz w:val="26"/>
          <w:szCs w:val="26"/>
          <w:rtl/>
        </w:rPr>
        <w:t xml:space="preserve">و.4  الحظور التشغيلية</w:t>
      </w:r>
    </w:p>
    <w:p>
      <w:pPr>
        <w:pStyle w:val="ListParagraph"/>
        <w:numPr>
          <w:ilvl w:val="0"/>
          <w:numId w:val="2"/>
        </w:numPr>
        <w:bidi/>
        <w:spacing w:after="40" w:before="40" w:line="320"/>
        <w:jc w:val="both"/>
      </w:pPr>
      <w:r>
        <w:rPr>
          <w:rFonts w:ascii="Cairo" w:cs="Cairo" w:eastAsia="Cairo" w:hAnsi="Cairo"/>
          <w:sz w:val="22"/>
          <w:szCs w:val="22"/>
          <w:rtl/>
        </w:rPr>
        <w:t xml:space="preserve">يُحظَر تعبئة الأسطوانة في غير المنشآت المعتمدة.</w:t>
      </w:r>
    </w:p>
    <w:p>
      <w:pPr>
        <w:pStyle w:val="ListParagraph"/>
        <w:numPr>
          <w:ilvl w:val="0"/>
          <w:numId w:val="2"/>
        </w:numPr>
        <w:bidi/>
        <w:spacing w:after="40" w:before="40" w:line="320"/>
        <w:jc w:val="both"/>
      </w:pPr>
      <w:r>
        <w:rPr>
          <w:rFonts w:ascii="Cairo" w:cs="Cairo" w:eastAsia="Cairo" w:hAnsi="Cairo"/>
          <w:sz w:val="22"/>
          <w:szCs w:val="22"/>
          <w:rtl/>
        </w:rPr>
        <w:t xml:space="preserve">يُحظَر استخدام الأسطوانة في غير الغرض المصنَّعة له (غاز بترولي مسال فقط).</w:t>
      </w:r>
    </w:p>
    <w:p>
      <w:pPr>
        <w:pStyle w:val="ListParagraph"/>
        <w:numPr>
          <w:ilvl w:val="0"/>
          <w:numId w:val="2"/>
        </w:numPr>
        <w:bidi/>
        <w:spacing w:after="40" w:before="40" w:line="320"/>
        <w:jc w:val="both"/>
      </w:pPr>
      <w:r>
        <w:rPr>
          <w:rFonts w:ascii="Cairo" w:cs="Cairo" w:eastAsia="Cairo" w:hAnsi="Cairo"/>
          <w:sz w:val="22"/>
          <w:szCs w:val="22"/>
          <w:rtl/>
        </w:rPr>
        <w:t xml:space="preserve">يُحظَر فتح الصمام أو التعديل على أيّ مكوِّنٍ من مكوِّنات الأسطوانة.</w:t>
      </w:r>
    </w:p>
    <w:p>
      <w:pPr>
        <w:pStyle w:val="ListParagraph"/>
        <w:numPr>
          <w:ilvl w:val="0"/>
          <w:numId w:val="2"/>
        </w:numPr>
        <w:bidi/>
        <w:spacing w:after="40" w:before="40" w:line="320"/>
        <w:jc w:val="both"/>
      </w:pPr>
      <w:r>
        <w:rPr>
          <w:rFonts w:ascii="Cairo" w:cs="Cairo" w:eastAsia="Cairo" w:hAnsi="Cairo"/>
          <w:sz w:val="22"/>
          <w:szCs w:val="22"/>
          <w:rtl/>
        </w:rPr>
        <w:t xml:space="preserve">يُحظَر الاستخدام بعد انتهاء العمر الافتراضي (15 سنة من تاريخ التصنيع).</w:t>
      </w:r>
    </w:p>
    <w:p>
      <w:r>
        <w:br w:type="page"/>
      </w:r>
    </w:p>
    <w:p>
      <w:pPr>
        <w:pStyle w:val="Heading1"/>
        <w:pBdr>
          <w:bottom w:val="single" w:color="1E7A3C" w:sz="12" w:space="6"/>
        </w:pBdr>
        <w:bidi/>
        <w:spacing w:after="200" w:before="360"/>
        <w:jc w:val="right"/>
      </w:pPr>
      <w:r>
        <w:rPr>
          <w:rFonts w:ascii="Cairo" w:cs="Cairo" w:eastAsia="Cairo" w:hAnsi="Cairo"/>
          <w:b/>
          <w:bCs/>
          <w:color w:val="0F2A47"/>
          <w:sz w:val="32"/>
          <w:szCs w:val="32"/>
          <w:rtl/>
        </w:rPr>
        <w:t xml:space="preserve">الملحق (ز) — نموذج التقرير الشهري للموزع</w:t>
      </w:r>
    </w:p>
    <w:p>
      <w:pPr>
        <w:bidi/>
        <w:spacing w:after="80" w:before="80" w:line="320"/>
        <w:jc w:val="both"/>
      </w:pPr>
      <w:r>
        <w:rPr>
          <w:rFonts w:ascii="Cairo" w:cs="Cairo" w:eastAsia="Cairo" w:hAnsi="Cairo"/>
          <w:b w:val="false"/>
          <w:bCs w:val="false"/>
          <w:color w:val="0F2A47"/>
          <w:sz w:val="22"/>
          <w:szCs w:val="22"/>
          <w:rtl/>
        </w:rPr>
        <w:t xml:space="preserve">يُلزَم الموزع بتقديم تقريرٍ شهريٍّ موحَّدٍ على منصة إيزي جاز خلال الأيام الخمسة الأولى من الشهر التالي، ويُعدّ عدم التقديم في موعده مخالفةً من المستوى الأول.</w:t>
      </w:r>
    </w:p>
    <w:p>
      <w:pPr>
        <w:bidi/>
        <w:spacing w:after="120" w:before="12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500"/>
        <w:gridCol w:w="5500"/>
      </w:tblGrid>
      <w:tr>
        <w:trPr>
          <w:tblHeader/>
        </w:trPr>
        <w:tc>
          <w:tcPr>
            <w:tcW w:type="dxa" w:w="3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البند</w:t>
            </w:r>
          </w:p>
        </w:tc>
        <w:tc>
          <w:tcPr>
            <w:tcW w:type="dxa" w:w="5500"/>
            <w:tcBorders>
              <w:top w:val="single" w:color="D1D5DB" w:sz="6"/>
              <w:left w:val="single" w:color="D1D5DB" w:sz="6"/>
              <w:bottom w:val="single" w:color="D1D5DB" w:sz="6"/>
              <w:right w:val="single" w:color="D1D5DB" w:sz="6"/>
            </w:tcBorders>
            <w:shd w:fill="1E7A3C" w:color="auto" w:val="clear"/>
            <w:tcMar>
              <w:top w:type="dxa" w:w="100"/>
              <w:left w:type="dxa" w:w="120"/>
              <w:bottom w:type="dxa" w:w="100"/>
              <w:right w:type="dxa" w:w="120"/>
            </w:tcMar>
          </w:tcPr>
          <w:p>
            <w:pPr>
              <w:bidi/>
              <w:spacing w:after="40" w:before="40"/>
              <w:jc w:val="center"/>
            </w:pPr>
            <w:r>
              <w:rPr>
                <w:rFonts w:ascii="Cairo" w:cs="Cairo" w:eastAsia="Cairo" w:hAnsi="Cairo"/>
                <w:b/>
                <w:bCs/>
                <w:color w:val="FFFFFF"/>
                <w:sz w:val="22"/>
                <w:szCs w:val="22"/>
                <w:rtl/>
              </w:rPr>
              <w:t xml:space="preserve">الوصف والبيانات المطلوبة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1. البيانات الأساسية</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اسم الموزع — الفئة — رقم العقد — الشهر المعني — اسم مُعدّ التقرير.</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2. المخزون الافتتاحي</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عدد الأسطوانات الممتلئة/الفارغة/التالفة في بداية الشهر — مصنَّفةً حسب المنتج (Home / Premium).</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3. الحركة الشهرية</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واردات من إيزي جاز — مبيعات الأسطوانات الجديدة — عمليات إعادة التعبئة — أسطوانات مستردَّة — أسطوانات تالفة.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4. المخزون الختامي</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تطابق حسابي مع السجل الرقمي على المنصة — تفسير أيّ فروقات.</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5. الأداء مقابل الحد الأدنى</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إجمالي مبيعات الأسطوانات — إجمالي عمليات إعادة التعبئة — النسبة المئوية لتحقيق الهدف الشهري.</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6. مؤشرات التشغيل</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متوسط زمن التوصيل — نسبة التوصيل في الموعد — عدد الشكاوى — زمن الاستجابة للحوادث.</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7. المالية</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إجمالي المشتريات — إجمالي المبيعات — رسوم التوصيل المحصَّلة — رسوم المعالجة المستحقة لإيزي جاز — الرصيد الدائن/المدين.</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8. الحوادث والمخالفات</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سرد لأيّ حادث سلامةٍ أو شكوى جوهريةٍ أو مخالفة تشغيل — تاريخ الحدث — الإجراءات المتَّخذة.</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9. الأسطوانات المستردَّة من المنافسين</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عدد الأسطوانات المركَّبة من شركاتٍ منافسةٍ المستردَّة من السوق — رسوم الإيداع المدفوعة — حالتها.</w:t>
            </w:r>
          </w:p>
        </w:tc>
      </w:tr>
      <w:tr>
        <w:tc>
          <w:tcPr>
            <w:tcW w:type="dxa" w:w="3500"/>
            <w:tcBorders>
              <w:top w:val="single" w:color="D1D5DB" w:sz="6"/>
              <w:left w:val="single" w:color="D1D5DB" w:sz="6"/>
              <w:bottom w:val="single" w:color="D1D5DB" w:sz="6"/>
              <w:right w:val="single" w:color="D1D5DB" w:sz="6"/>
            </w:tcBorders>
            <w:shd w:fill="F4F6F8" w:color="auto" w:val="clear"/>
            <w:tcMar>
              <w:top w:type="dxa" w:w="100"/>
              <w:left w:type="dxa" w:w="120"/>
              <w:bottom w:type="dxa" w:w="100"/>
              <w:right w:type="dxa" w:w="120"/>
            </w:tcMar>
          </w:tcPr>
          <w:p>
            <w:pPr>
              <w:bidi/>
              <w:spacing w:after="40" w:before="40"/>
              <w:jc w:val="right"/>
            </w:pPr>
            <w:r>
              <w:rPr>
                <w:rFonts w:ascii="Cairo" w:cs="Cairo" w:eastAsia="Cairo" w:hAnsi="Cairo"/>
                <w:b/>
                <w:bCs/>
                <w:color w:val="000000"/>
                <w:sz w:val="22"/>
                <w:szCs w:val="22"/>
                <w:rtl/>
              </w:rPr>
              <w:t xml:space="preserve">10. التوصيات والاحتياجات</w:t>
            </w:r>
          </w:p>
        </w:tc>
        <w:tc>
          <w:tcPr>
            <w:tcW w:type="dxa" w:w="5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الكميات المطلوبة للشهر التالي — الاقتراحات التشغيلية — أيّ دعمٍ مطلوبٍ من إيزي جاز.</w:t>
            </w:r>
          </w:p>
        </w:tc>
      </w:tr>
    </w:tbl>
    <w:p>
      <w:pPr>
        <w:bidi/>
        <w:spacing w:after="200" w:before="200"/>
      </w:pPr>
      <w:r>
        <w:rPr>
          <w:rFonts w:ascii="Cairo" w:cs="Cairo" w:eastAsia="Cairo" w:hAnsi="Cairo"/>
        </w:rPr>
        <w:t xml:space="preserve"/>
      </w:r>
    </w:p>
    <w:p>
      <w:pPr>
        <w:bidi/>
        <w:spacing w:after="80" w:before="80" w:line="320"/>
        <w:jc w:val="both"/>
      </w:pPr>
      <w:r>
        <w:rPr>
          <w:rFonts w:ascii="Cairo" w:cs="Cairo" w:eastAsia="Cairo" w:hAnsi="Cairo"/>
          <w:b/>
          <w:bCs/>
          <w:color w:val="0F2A47"/>
          <w:sz w:val="24"/>
          <w:szCs w:val="24"/>
          <w:rtl/>
        </w:rPr>
        <w:t xml:space="preserve">اعتماد التقرير:</w:t>
      </w:r>
    </w:p>
    <w:p>
      <w:pPr>
        <w:bidi/>
        <w:spacing w:after="60" w:before="60"/>
      </w:pPr>
      <w:r>
        <w:rPr>
          <w:rFonts w:ascii="Cairo" w:cs="Cairo" w:eastAsia="Cairo" w:hAnsi="Cairo"/>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اسم مُعدّ التقرير: ...............................
التوقيع: .............................
التاريخ: ............................</w:t>
            </w:r>
          </w:p>
        </w:tc>
        <w:tc>
          <w:tcPr>
            <w:tcW w:type="dxa" w:w="4500"/>
            <w:tcBorders>
              <w:top w:val="single" w:color="D1D5DB" w:sz="6"/>
              <w:left w:val="single" w:color="D1D5DB" w:sz="6"/>
              <w:bottom w:val="single" w:color="D1D5DB" w:sz="6"/>
              <w:right w:val="single" w:color="D1D5DB" w:sz="6"/>
            </w:tcBorders>
            <w:tcMar>
              <w:top w:type="dxa" w:w="100"/>
              <w:left w:type="dxa" w:w="120"/>
              <w:bottom w:type="dxa" w:w="100"/>
              <w:right w:type="dxa" w:w="120"/>
            </w:tcMar>
          </w:tcPr>
          <w:p>
            <w:pPr>
              <w:bidi/>
              <w:spacing w:after="40" w:before="40"/>
              <w:jc w:val="right"/>
            </w:pPr>
            <w:r>
              <w:rPr>
                <w:rFonts w:ascii="Cairo" w:cs="Cairo" w:eastAsia="Cairo" w:hAnsi="Cairo"/>
                <w:b w:val="false"/>
                <w:bCs w:val="false"/>
                <w:color w:val="000000"/>
                <w:sz w:val="22"/>
                <w:szCs w:val="22"/>
                <w:rtl/>
              </w:rPr>
              <w:t xml:space="preserve">اعتماد مدير التوزيع: ...........................
التوقيع: .............................
التاريخ: ............................</w:t>
            </w:r>
          </w:p>
        </w:tc>
      </w:tr>
    </w:tbl>
    <w:p>
      <w:pPr>
        <w:bidi/>
        <w:spacing w:after="240" w:before="240"/>
      </w:pPr>
      <w:r>
        <w:rPr>
          <w:rFonts w:ascii="Cairo" w:cs="Cairo" w:eastAsia="Cairo" w:hAnsi="Cairo"/>
        </w:rPr>
        <w:t xml:space="preserve"/>
      </w:r>
    </w:p>
    <w:p>
      <w:pPr>
        <w:bidi/>
        <w:spacing w:after="80" w:before="80" w:line="320"/>
        <w:jc w:val="center"/>
      </w:pPr>
      <w:r>
        <w:rPr>
          <w:rFonts w:ascii="Cairo" w:cs="Cairo" w:eastAsia="Cairo" w:hAnsi="Cairo"/>
          <w:b/>
          <w:bCs/>
          <w:color w:val="1E7A3C"/>
          <w:sz w:val="28"/>
          <w:szCs w:val="28"/>
          <w:rtl/>
        </w:rPr>
        <w:t xml:space="preserve">— نهاية العقد —</w:t>
      </w:r>
    </w:p>
    <w:p>
      <w:pPr>
        <w:bidi/>
        <w:spacing w:after="80" w:before="80" w:line="320"/>
        <w:jc w:val="center"/>
      </w:pPr>
      <w:r>
        <w:rPr>
          <w:rFonts w:ascii="Cairo" w:cs="Cairo" w:eastAsia="Cairo" w:hAnsi="Cairo"/>
          <w:b/>
          <w:bCs/>
          <w:color w:val="1E7A3C"/>
          <w:sz w:val="22"/>
          <w:szCs w:val="22"/>
          <w:rtl/>
        </w:rPr>
        <w:t xml:space="preserve">www.ezy-gas.com</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7A3C" w:sz="8" w:space="4"/>
      </w:pBdr>
      <w:bidi/>
      <w:spacing w:before="80"/>
      <w:jc w:val="center"/>
    </w:pPr>
    <w:r>
      <w:rPr>
        <w:rFonts w:ascii="Cairo" w:cs="Cairo" w:eastAsia="Cairo" w:hAnsi="Cairo"/>
        <w:b/>
        <w:bCs/>
        <w:color w:val="C0392B"/>
        <w:sz w:val="16"/>
        <w:szCs w:val="16"/>
        <w:rtl/>
      </w:rPr>
      <w:t xml:space="preserve">سري — للاستخدام التعاقدي فقط  |  Confidential  |  </w:t>
    </w:r>
    <w:r>
      <w:rPr>
        <w:rFonts w:ascii="Cairo" w:cs="Cairo" w:eastAsia="Cairo" w:hAnsi="Cairo"/>
        <w:color w:val="555555"/>
        <w:sz w:val="16"/>
        <w:szCs w:val="16"/>
        <w:rtl/>
      </w:rPr>
      <w:t xml:space="preserve">صفحة </w:t>
    </w:r>
    <w:r>
      <w:rPr>
        <w:rFonts w:ascii="Cairo" w:cs="Cairo" w:eastAsia="Cairo" w:hAnsi="Cairo"/>
        <w:color w:val="555555"/>
        <w:sz w:val="16"/>
        <w:szCs w:val="16"/>
      </w:rPr>
      <w:fldChar w:fldCharType="begin"/>
      <w:instrText xml:space="preserve">PAGE</w:instrText>
      <w:fldChar w:fldCharType="separate"/>
      <w:fldChar w:fldCharType="end"/>
    </w:r>
    <w:r>
      <w:rPr>
        <w:rFonts w:ascii="Cairo" w:cs="Cairo" w:eastAsia="Cairo" w:hAnsi="Cairo"/>
        <w:color w:val="555555"/>
        <w:sz w:val="16"/>
        <w:szCs w:val="16"/>
        <w:rtl/>
      </w:rPr>
      <w:t xml:space="preserve"> من </w:t>
    </w:r>
    <w:r>
      <w:rPr>
        <w:rFonts w:ascii="Cairo" w:cs="Cairo" w:eastAsia="Cairo" w:hAnsi="Cairo"/>
        <w:color w:val="555555"/>
        <w:sz w:val="16"/>
        <w:szCs w:val="16"/>
      </w:rPr>
      <w:fldChar w:fldCharType="begin"/>
      <w:instrText xml:space="preserve">NUMPAGES</w:instrText>
      <w:fldChar w:fldCharType="separate"/>
      <w:fldChar w:fldCharType="end"/>
    </w:r>
    <w:r>
      <w:rPr>
        <w:rFonts w:ascii="Cairo" w:cs="Cairo" w:eastAsia="Cairo" w:hAnsi="Cairo"/>
        <w:b/>
        <w:bCs/>
        <w:color w:val="1E7A3C"/>
        <w:sz w:val="16"/>
        <w:szCs w:val="16"/>
      </w:rPr>
      <w:t xml:space="preserve">  |  www.ezy-gas.com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7A3C" w:sz="8" w:space="4"/>
      </w:pBdr>
      <w:bidi/>
      <w:spacing w:after="80"/>
      <w:jc w:val="right"/>
    </w:pPr>
    <w:r>
      <w:rPr>
        <w:rFonts w:ascii="Cairo" w:cs="Cairo" w:eastAsia="Cairo" w:hAnsi="Cairo"/>
        <w:b/>
        <w:bCs/>
        <w:color w:val="0F2A47"/>
        <w:sz w:val="18"/>
        <w:szCs w:val="18"/>
        <w:rtl/>
      </w:rPr>
      <w:t xml:space="preserve">EzyGas — عقد التوزيع المعتمد  |  Authorized Distribution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start="720" w:hanging="360"/>
      </w:pPr>
      <w:rPr>
        <w:rFonts w:ascii="Cairo" w:cs="Cairo" w:eastAsia="Cairo" w:hAnsi="Cairo"/>
        <w:color w:val="1E7A3C"/>
        <w:sz w:val="22"/>
        <w:szCs w:val="22"/>
      </w:rPr>
    </w:lvl>
    <w:lvl w:ilvl="1" w15:tentative="1">
      <w:start w:val="1"/>
      <w:numFmt w:val="bullet"/>
      <w:lvlText w:val="■"/>
      <w:lvlJc w:val="right"/>
      <w:pPr>
        <w:ind w:start="1440" w:hanging="360"/>
      </w:pPr>
      <w:rPr>
        <w:rFonts w:ascii="Cairo" w:cs="Cairo" w:eastAsia="Cairo" w:hAnsi="Cairo"/>
        <w:color w:val="0F2A47"/>
        <w:sz w:val="20"/>
        <w:szCs w:val="20"/>
      </w:rPr>
    </w:lvl>
  </w:abstractNum>
  <w:abstractNum w:abstractNumId="3" w15:restartNumberingAfterBreak="0">
    <w:multiLevelType w:val="hybridMultilevel"/>
    <w:lvl w:ilvl="0" w15:tentative="1">
      <w:start w:val="1"/>
      <w:numFmt w:val="decimal"/>
      <w:lvlText w:val="%1."/>
      <w:lvlJc w:val="right"/>
      <w:pPr>
        <w:ind w:start="720" w:hanging="360"/>
      </w:pPr>
      <w:rPr>
        <w:rFonts w:ascii="Cairo" w:cs="Cairo" w:eastAsia="Cairo" w:hAnsi="Cairo"/>
        <w:b/>
        <w:bCs/>
        <w:color w:val="0F2A47"/>
        <w:sz w:val="22"/>
        <w:szCs w:val="22"/>
      </w:rPr>
    </w:lvl>
    <w:lvl w:ilvl="1" w15:tentative="1">
      <w:start w:val="1"/>
      <w:numFmt w:val="lowerLetter"/>
      <w:lvlText w:val="(%2)"/>
      <w:lvlJc w:val="right"/>
      <w:pPr>
        <w:ind w:start="1440" w:hanging="360"/>
      </w:pPr>
      <w:rPr>
        <w:rFonts w:ascii="Cairo" w:cs="Cairo" w:eastAsia="Cairo" w:hAnsi="Cairo"/>
        <w:color w:val="0F2A47"/>
        <w:sz w:val="20"/>
        <w:szCs w:val="20"/>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iro" w:cs="Cairo" w:eastAsia="Cairo" w:hAnsi="Cairo"/>
        <w:sz w:val="22"/>
        <w:szCs w:val="22"/>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jc w:val="right"/>
    </w:pPr>
    <w:rPr>
      <w:rFonts w:ascii="Cairo" w:cs="Cairo" w:eastAsia="Cairo" w:hAnsi="Cairo"/>
      <w:b/>
      <w:bCs/>
      <w:color w:val="0F2A47"/>
      <w:sz w:val="32"/>
      <w:szCs w:val="32"/>
    </w:rPr>
  </w:style>
  <w:style w:type="paragraph" w:styleId="Heading2">
    <w:name w:val="Heading 2"/>
    <w:basedOn w:val="Normal"/>
    <w:next w:val="Normal"/>
    <w:qFormat/>
    <w:pPr>
      <w:spacing w:after="140" w:before="260"/>
      <w:jc w:val="right"/>
    </w:pPr>
    <w:rPr>
      <w:rFonts w:ascii="Cairo" w:cs="Cairo" w:eastAsia="Cairo" w:hAnsi="Cairo"/>
      <w:b/>
      <w:bCs/>
      <w:color w:val="1E7A3C"/>
      <w:sz w:val="26"/>
      <w:szCs w:val="26"/>
    </w:rPr>
  </w:style>
  <w:style w:type="paragraph" w:styleId="Heading3">
    <w:name w:val="Heading 3"/>
    <w:basedOn w:val="Normal"/>
    <w:next w:val="Normal"/>
    <w:qFormat/>
    <w:pPr>
      <w:spacing w:after="100" w:before="200"/>
      <w:jc w:val="right"/>
    </w:pPr>
    <w:rPr>
      <w:rFonts w:ascii="Cairo" w:cs="Cairo" w:eastAsia="Cairo" w:hAnsi="Cairo"/>
      <w:b/>
      <w:bCs/>
      <w:color w:val="0F2A47"/>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4cfba0d077d952225819b6027806267f19970e8.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EzyGas Authorized Distribution Agreement v1.0</dc:title>
  <dc:creator>EzyGas Legal</dc:creator>
  <dc:description>Proposed Template — Arabic | CRCICA | 2026</dc:description>
  <cp:lastModifiedBy>Un-named</cp:lastModifiedBy>
  <cp:revision>1</cp:revision>
  <dcterms:created xsi:type="dcterms:W3CDTF">2026-04-18T20:56:00.821Z</dcterms:created>
  <dcterms:modified xsi:type="dcterms:W3CDTF">2026-04-18T20:56:00.822Z</dcterms:modified>
</cp:coreProperties>
</file>

<file path=docProps/custom.xml><?xml version="1.0" encoding="utf-8"?>
<Properties xmlns="http://schemas.openxmlformats.org/officeDocument/2006/custom-properties" xmlns:vt="http://schemas.openxmlformats.org/officeDocument/2006/docPropsVTypes"/>
</file>