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م</w:t>
            </w:r>
          </w:p>
        </w:tc>
        <w:tc>
          <w:tcPr>
            <w:tcW w:type="dxa" w:w="2160"/>
          </w:tcPr>
          <w:p>
            <w:r>
              <w:t>الاسم</w:t>
            </w:r>
          </w:p>
        </w:tc>
        <w:tc>
          <w:tcPr>
            <w:tcW w:type="dxa" w:w="2160"/>
          </w:tcPr>
          <w:p>
            <w:r>
              <w:t>الجنسية</w:t>
            </w:r>
          </w:p>
        </w:tc>
        <w:tc>
          <w:tcPr>
            <w:tcW w:type="dxa" w:w="2160"/>
          </w:tcPr>
          <w:p>
            <w:r>
              <w:t>الصفة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محمد فتحي مصطفى الزيات</w:t>
            </w:r>
          </w:p>
        </w:tc>
        <w:tc>
          <w:tcPr>
            <w:tcW w:type="dxa" w:w="2160"/>
          </w:tcPr>
          <w:p>
            <w:r>
              <w:t>مصري</w:t>
            </w:r>
          </w:p>
        </w:tc>
        <w:tc>
          <w:tcPr>
            <w:tcW w:type="dxa" w:w="2160"/>
          </w:tcPr>
          <w:p>
            <w:r>
              <w:t>رئيس مجلس الإدارة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محمد صبحي الدسوقي رزق</w:t>
            </w:r>
          </w:p>
        </w:tc>
        <w:tc>
          <w:tcPr>
            <w:tcW w:type="dxa" w:w="2160"/>
          </w:tcPr>
          <w:p>
            <w:r>
              <w:t>مصري</w:t>
            </w:r>
          </w:p>
        </w:tc>
        <w:tc>
          <w:tcPr>
            <w:tcW w:type="dxa" w:w="2160"/>
          </w:tcPr>
          <w:p>
            <w:r>
              <w:t>نائب رئيس المجلس والعضو المنتدب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عبدالفتاح حجاج عبدالفتاح مبروك</w:t>
            </w:r>
          </w:p>
        </w:tc>
        <w:tc>
          <w:tcPr>
            <w:tcW w:type="dxa" w:w="2160"/>
          </w:tcPr>
          <w:p>
            <w:r>
              <w:t>مصري</w:t>
            </w:r>
          </w:p>
        </w:tc>
        <w:tc>
          <w:tcPr>
            <w:tcW w:type="dxa" w:w="2160"/>
          </w:tcPr>
          <w:p>
            <w:r>
              <w:t>عضو مجلس الإدارة</w:t>
            </w:r>
          </w:p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دينا أمين أحمد أمين السقعان</w:t>
            </w:r>
          </w:p>
        </w:tc>
        <w:tc>
          <w:tcPr>
            <w:tcW w:type="dxa" w:w="2160"/>
          </w:tcPr>
          <w:p>
            <w:r>
              <w:t>مصرية</w:t>
            </w:r>
          </w:p>
        </w:tc>
        <w:tc>
          <w:tcPr>
            <w:tcW w:type="dxa" w:w="2160"/>
          </w:tcPr>
          <w:p>
            <w:r>
              <w:t>مكتتب</w:t>
            </w:r>
          </w:p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محمد صلاح الدين محمد صادق</w:t>
            </w:r>
          </w:p>
        </w:tc>
        <w:tc>
          <w:tcPr>
            <w:tcW w:type="dxa" w:w="2160"/>
          </w:tcPr>
          <w:p>
            <w:r>
              <w:t>مصري</w:t>
            </w:r>
          </w:p>
        </w:tc>
        <w:tc>
          <w:tcPr>
            <w:tcW w:type="dxa" w:w="2160"/>
          </w:tcPr>
          <w:p>
            <w:r>
              <w:t>مكتتب</w:t>
            </w:r>
          </w:p>
        </w:tc>
      </w:tr>
    </w:tbl>
    <w:p>
      <w:pPr>
        <w:pStyle w:val="Heading1"/>
        <w:bidi w:val="1"/>
        <w:jc w:val="center"/>
      </w:pPr>
      <w:r>
        <w:t>عقد توزيع معتمد</w:t>
      </w:r>
    </w:p>
    <w:p>
      <w:pPr>
        <w:pStyle w:val="Heading2"/>
        <w:bidi w:val="1"/>
        <w:jc w:val="center"/>
      </w:pPr>
      <w:r>
        <w:t>بين شركة TreeGas (ممثلة بمنصة EzyGas) والموزع المعتمد</w:t>
      </w:r>
    </w:p>
    <w:p>
      <w:pPr>
        <w:bidi w:val="1"/>
        <w:jc w:val="right"/>
      </w:pPr>
      <w:r>
        <w:t>حُرر هذا العقد في يوم _____ الموافق ___/___/2026</w:t>
      </w:r>
    </w:p>
    <w:p>
      <w:pPr>
        <w:bidi w:val="1"/>
        <w:jc w:val="right"/>
      </w:pPr>
    </w:p>
    <w:p>
      <w:pPr>
        <w:bidi w:val="1"/>
        <w:jc w:val="right"/>
      </w:pPr>
      <w:r>
        <w:rPr>
          <w:b/>
        </w:rPr>
        <w:t>بين كل من:</w:t>
      </w:r>
    </w:p>
    <w:p>
      <w:pPr>
        <w:pStyle w:val="Heading3"/>
        <w:bidi w:val="1"/>
        <w:jc w:val="right"/>
      </w:pPr>
      <w:r>
        <w:t>الطرف الأول: شركة TreeGas (المورد)</w:t>
      </w:r>
    </w:p>
    <w:p>
      <w:pPr>
        <w:pStyle w:val="ListBullet"/>
        <w:bidi w:val="1"/>
        <w:jc w:val="right"/>
      </w:pPr>
      <w:r>
        <w:t>الاسم: شركة TreeGas لتصنيع أسطوانات الغاز المركبة</w:t>
      </w:r>
    </w:p>
    <w:p>
      <w:pPr>
        <w:pStyle w:val="ListBullet"/>
        <w:bidi w:val="1"/>
        <w:jc w:val="right"/>
      </w:pPr>
      <w:r>
        <w:t>العنوان: المنطقة الاقتصادية لقناة السويس - عين السخنة</w:t>
      </w:r>
    </w:p>
    <w:p>
      <w:pPr>
        <w:pStyle w:val="ListBullet"/>
        <w:bidi w:val="1"/>
        <w:jc w:val="right"/>
      </w:pPr>
      <w:r>
        <w:t>السجل التجاري: _____________</w:t>
      </w:r>
    </w:p>
    <w:p>
      <w:pPr>
        <w:pStyle w:val="ListBullet"/>
        <w:bidi w:val="1"/>
        <w:jc w:val="right"/>
      </w:pPr>
      <w:r>
        <w:t>ممثلة بمنصة EzyGas الرقمية للتوزيع</w:t>
      </w:r>
    </w:p>
    <w:p>
      <w:pPr>
        <w:pStyle w:val="ListBullet"/>
        <w:bidi w:val="1"/>
        <w:jc w:val="right"/>
      </w:pPr>
      <w:r>
        <w:t>ويشار إليها فيما يلي بـ (المورد)</w:t>
      </w:r>
    </w:p>
    <w:p>
      <w:pPr>
        <w:pStyle w:val="Heading3"/>
        <w:bidi w:val="1"/>
        <w:jc w:val="right"/>
      </w:pPr>
      <w:r>
        <w:t>الطرف الثاني: الموزع المعتمد</w:t>
      </w:r>
    </w:p>
    <w:p>
      <w:pPr>
        <w:pStyle w:val="ListBullet"/>
        <w:bidi w:val="1"/>
        <w:jc w:val="right"/>
      </w:pPr>
      <w:r>
        <w:t>الاسم: _____________</w:t>
      </w:r>
    </w:p>
    <w:p>
      <w:pPr>
        <w:pStyle w:val="ListBullet"/>
        <w:bidi w:val="1"/>
        <w:jc w:val="right"/>
      </w:pPr>
      <w:r>
        <w:t>العنوان: _____________</w:t>
      </w:r>
    </w:p>
    <w:p>
      <w:pPr>
        <w:pStyle w:val="ListBullet"/>
        <w:bidi w:val="1"/>
        <w:jc w:val="right"/>
      </w:pPr>
      <w:r>
        <w:t>السجل التجاري: _____________</w:t>
      </w:r>
    </w:p>
    <w:p>
      <w:pPr>
        <w:pStyle w:val="ListBullet"/>
        <w:bidi w:val="1"/>
        <w:jc w:val="right"/>
      </w:pPr>
      <w:r>
        <w:t>الرقم الضريبي: _____________</w:t>
      </w:r>
    </w:p>
    <w:p>
      <w:pPr>
        <w:pStyle w:val="ListBullet"/>
        <w:bidi w:val="1"/>
        <w:jc w:val="right"/>
      </w:pPr>
      <w:r>
        <w:t>ويشار إليه فيما يلي بـ (الموزع)</w:t>
      </w:r>
    </w:p>
    <w:p>
      <w:r>
        <w:br w:type="page"/>
      </w:r>
    </w:p>
    <w:p>
      <w:pPr>
        <w:pStyle w:val="Heading2"/>
        <w:bidi w:val="1"/>
        <w:jc w:val="right"/>
      </w:pPr>
      <w:r>
        <w:t>تمهيد وخلفية</w:t>
      </w:r>
    </w:p>
    <w:p>
      <w:pPr>
        <w:bidi w:val="1"/>
        <w:jc w:val="right"/>
      </w:pPr>
      <w:r>
        <w:t>حيث إن المورد يمتلك مصنعًا لإنتاج أسطوانات الغاز المسال المركبة من النوع الرابع (Type IV Composite LPG Cylinders) بسعة إنتاجية تبلغ 2 مليون أسطوانة سنويًا، وقد أطلق منصة EzyGas الرقمية لإدارة شبكة التوزيع والخدمات اللوجستية؛</w:t>
      </w:r>
    </w:p>
    <w:p>
      <w:pPr>
        <w:bidi w:val="1"/>
        <w:jc w:val="right"/>
      </w:pPr>
      <w:r>
        <w:t>وحيث إن الموزع يرغب في الحصول على حق التوزيع الحصري/غير الحصري لأسطوانات EzyGas في نطاق جغرافي محدد وفقًا للشروط الواردة في هذا العقد؛</w:t>
      </w:r>
    </w:p>
    <w:p>
      <w:pPr>
        <w:bidi w:val="1"/>
        <w:jc w:val="right"/>
      </w:pPr>
      <w:r>
        <w:t>فقد اتفق الطرفان على ما يلي:</w:t>
      </w:r>
    </w:p>
    <w:p>
      <w:pPr>
        <w:pStyle w:val="Heading2"/>
        <w:bidi w:val="1"/>
        <w:jc w:val="right"/>
      </w:pPr>
      <w:r>
        <w:t>المادة (1): التعريفات</w:t>
      </w:r>
    </w:p>
    <w:p>
      <w:pPr>
        <w:pStyle w:val="ListBullet"/>
        <w:bidi w:val="1"/>
        <w:jc w:val="right"/>
      </w:pPr>
      <w:r>
        <w:t>الأسطوانات: أسطوانات غاز البترول المسال المركبة من النوع الرابع (Type IV Composite) المصنعة بواسطة TreeGas وتحمل علامة EzyGas التجارية.</w:t>
      </w:r>
    </w:p>
    <w:p>
      <w:pPr>
        <w:pStyle w:val="ListBullet"/>
        <w:bidi w:val="1"/>
        <w:jc w:val="right"/>
      </w:pPr>
      <w:r>
        <w:t>النطاق الجغرافي: المنطقة المحددة في الملحق (أ) من هذا العقد باستخدام إحداثيات GPS.</w:t>
      </w:r>
    </w:p>
    <w:p>
      <w:pPr>
        <w:pStyle w:val="ListBullet"/>
        <w:bidi w:val="1"/>
        <w:jc w:val="right"/>
      </w:pPr>
      <w:r>
        <w:t>التطبيق: منصة EzyGas الرقمية (تطبيق الهاتف المحمول + بوابة الإدارة) المستخدمة لإدارة الطلبات والتوصيل والتتبع.</w:t>
      </w:r>
    </w:p>
    <w:p>
      <w:pPr>
        <w:pStyle w:val="ListBullet"/>
        <w:bidi w:val="1"/>
        <w:jc w:val="right"/>
      </w:pPr>
      <w:r>
        <w:t>التعبئة: عملية ملء الأسطوانة بغاز البترول المسال.</w:t>
      </w:r>
    </w:p>
    <w:p>
      <w:pPr>
        <w:pStyle w:val="ListBullet"/>
        <w:bidi w:val="1"/>
        <w:jc w:val="right"/>
      </w:pPr>
      <w:r>
        <w:t>الفئة: مستوى الشراكة (فئة Elite A / فئة B / فئة C / فئة دخول) المحددة في الملحق (ب).</w:t>
      </w:r>
    </w:p>
    <w:p>
      <w:pPr>
        <w:pStyle w:val="ListBullet"/>
        <w:bidi w:val="1"/>
        <w:jc w:val="right"/>
      </w:pPr>
      <w:r>
        <w:t>مؤشرات الأداء: معايير الأداء المتفق عليها في الملحق (ب).</w:t>
      </w:r>
    </w:p>
    <w:p>
      <w:pPr>
        <w:pStyle w:val="ListBullet"/>
        <w:bidi w:val="1"/>
        <w:jc w:val="right"/>
      </w:pPr>
      <w:r>
        <w:t>التأمين: المبلغ المالي المودع لدى المورد مقابل الأسطوانات وفقًا للفئة المختارة.</w:t>
      </w:r>
    </w:p>
    <w:p>
      <w:pPr>
        <w:pStyle w:val="ListBullet"/>
        <w:bidi w:val="1"/>
        <w:jc w:val="right"/>
      </w:pPr>
      <w:r>
        <w:t>الموزع الفرعي: طرف ثالث يتعاقد معه الموزع لتوزيع الأسطوانات ضمن النطاق الجغرافي.</w:t>
      </w:r>
    </w:p>
    <w:p>
      <w:r>
        <w:br w:type="page"/>
      </w:r>
    </w:p>
    <w:p>
      <w:pPr>
        <w:pStyle w:val="Heading2"/>
        <w:bidi w:val="1"/>
        <w:jc w:val="right"/>
      </w:pPr>
      <w:r>
        <w:t>المادة (2): موضوع العقد والنطاق</w:t>
      </w:r>
    </w:p>
    <w:p>
      <w:pPr>
        <w:bidi w:val="1"/>
        <w:jc w:val="right"/>
      </w:pPr>
      <w:r>
        <w:t>2.1 يمنح المورد الموزع حق توزيع أسطوانات EzyGas ضمن النطاق الجغرافي المحدد في الملحق (أ).</w:t>
      </w:r>
    </w:p>
    <w:p>
      <w:pPr>
        <w:bidi w:val="1"/>
        <w:jc w:val="right"/>
      </w:pPr>
      <w:r>
        <w:t>2.2 يحدد الملحق (أ) الحدود الجغرافية بدقة باستخدام إحداثيات GPS ويجب توقيعه من الطرفين قبل سريان هذا العقد.</w:t>
      </w:r>
    </w:p>
    <w:p>
      <w:pPr>
        <w:bidi w:val="1"/>
        <w:jc w:val="right"/>
      </w:pPr>
      <w:r>
        <w:t>2.3 نوع الحق: [حصري / غير حصري] ضمن النطاق الجغرافي المحدد (يُحدد عند التوقيع).</w:t>
      </w:r>
    </w:p>
    <w:p>
      <w:pPr>
        <w:bidi w:val="1"/>
        <w:jc w:val="right"/>
      </w:pPr>
      <w:r>
        <w:t>2.4 يحق للمورد تعيين موزعين آخرين خارج النطاق الجغرافي المحدد دون قيود.</w:t>
      </w:r>
    </w:p>
    <w:p>
      <w:pPr>
        <w:pStyle w:val="Heading2"/>
        <w:bidi w:val="1"/>
        <w:jc w:val="right"/>
      </w:pPr>
      <w:r>
        <w:t>المادة (3): الفئات ومستويات الشراكة</w:t>
      </w:r>
    </w:p>
    <w:p>
      <w:pPr>
        <w:bidi w:val="1"/>
        <w:jc w:val="right"/>
      </w:pPr>
      <w:r>
        <w:t>3.1 يختار الموزع إحدى الفئات التالية عند التوقيع: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pPr>
              <w:bidi w:val="1"/>
              <w:jc w:val="right"/>
            </w:pPr>
            <w:r>
              <w:t>الفئة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عدد الأسطوانات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الخصم الأساسي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خصم الأداء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الحد الأقصى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التأمين</w:t>
            </w:r>
          </w:p>
        </w:tc>
      </w:tr>
      <w:tr>
        <w:tc>
          <w:tcPr>
            <w:tcW w:type="dxa" w:w="1440"/>
          </w:tcPr>
          <w:p>
            <w:pPr>
              <w:bidi w:val="1"/>
              <w:jc w:val="right"/>
            </w:pPr>
            <w:r>
              <w:t>Elite A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100,000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10%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+5%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15%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7% من القيمة</w:t>
            </w:r>
          </w:p>
        </w:tc>
      </w:tr>
      <w:tr>
        <w:tc>
          <w:tcPr>
            <w:tcW w:type="dxa" w:w="1440"/>
          </w:tcPr>
          <w:p>
            <w:pPr>
              <w:bidi w:val="1"/>
              <w:jc w:val="right"/>
            </w:pPr>
            <w:r>
              <w:t>B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50,000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8%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+2%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10%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10% من القيمة</w:t>
            </w:r>
          </w:p>
        </w:tc>
      </w:tr>
      <w:tr>
        <w:tc>
          <w:tcPr>
            <w:tcW w:type="dxa" w:w="1440"/>
          </w:tcPr>
          <w:p>
            <w:pPr>
              <w:bidi w:val="1"/>
              <w:jc w:val="right"/>
            </w:pPr>
            <w:r>
              <w:t>C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25,000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6%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+1.5%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7.5%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15% من القيمة</w:t>
            </w:r>
          </w:p>
        </w:tc>
      </w:tr>
      <w:tr>
        <w:tc>
          <w:tcPr>
            <w:tcW w:type="dxa" w:w="1440"/>
          </w:tcPr>
          <w:p>
            <w:pPr>
              <w:bidi w:val="1"/>
              <w:jc w:val="right"/>
            </w:pPr>
            <w:r>
              <w:t>Entry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10,000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3%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-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3%</w:t>
            </w:r>
          </w:p>
        </w:tc>
        <w:tc>
          <w:tcPr>
            <w:tcW w:type="dxa" w:w="1440"/>
          </w:tcPr>
          <w:p>
            <w:pPr>
              <w:bidi w:val="1"/>
              <w:jc w:val="right"/>
            </w:pPr>
            <w:r>
              <w:t>20% من القيمة</w:t>
            </w:r>
          </w:p>
        </w:tc>
      </w:tr>
    </w:tbl>
    <w:p>
      <w:pPr>
        <w:bidi w:val="1"/>
        <w:jc w:val="right"/>
      </w:pPr>
      <w:r>
        <w:t>3.2 يُحسب التأمين على أساس سعر شراء الأسطوانة (قبل الخصم) مضروبًا في عدد الأسطوانات.</w:t>
      </w:r>
    </w:p>
    <w:p>
      <w:pPr>
        <w:bidi w:val="1"/>
        <w:jc w:val="right"/>
      </w:pPr>
      <w:r>
        <w:t>3.3 الفئة المختارة: _____________ (تُحدد عند التوقيع)</w:t>
      </w:r>
    </w:p>
    <w:p>
      <w:r>
        <w:br w:type="page"/>
      </w:r>
    </w:p>
    <w:p>
      <w:pPr>
        <w:pStyle w:val="Heading2"/>
        <w:bidi w:val="1"/>
        <w:jc w:val="right"/>
      </w:pPr>
      <w:r>
        <w:t>المادة (4): الالتزامات المالية والتأمين</w:t>
      </w:r>
    </w:p>
    <w:p>
      <w:pPr>
        <w:bidi w:val="1"/>
        <w:jc w:val="right"/>
      </w:pPr>
      <w:r>
        <w:rPr>
          <w:b/>
        </w:rPr>
        <w:t>4.1 التأمين:</w:t>
      </w:r>
    </w:p>
    <w:p>
      <w:pPr>
        <w:pStyle w:val="ListBullet"/>
        <w:bidi w:val="1"/>
        <w:jc w:val="right"/>
      </w:pPr>
      <w:r>
        <w:t>يدفع الموزع مبلغ تأمين قدره: _____________ جنيه مصري.</w:t>
      </w:r>
    </w:p>
    <w:p>
      <w:pPr>
        <w:pStyle w:val="ListBullet"/>
        <w:bidi w:val="1"/>
        <w:jc w:val="right"/>
      </w:pPr>
      <w:r>
        <w:t>التأمين قابل للاسترداد بالكامل عند إنهاء العقد بعد خصم أي مستحقات مالية للمورد.</w:t>
      </w:r>
    </w:p>
    <w:p>
      <w:pPr>
        <w:pStyle w:val="ListBullet"/>
        <w:bidi w:val="1"/>
        <w:jc w:val="right"/>
      </w:pPr>
      <w:r>
        <w:t>التأمين يغطي: قيمة الأسطوانات المفقودة/التالفة + أي مديونيات مستحقة للمورد.</w:t>
      </w:r>
    </w:p>
    <w:p>
      <w:pPr>
        <w:pStyle w:val="ListBullet"/>
        <w:bidi w:val="1"/>
        <w:jc w:val="right"/>
      </w:pPr>
      <w:r>
        <w:t>لا يحق للمورد استخدام التأمين لأغراض أخرى غير المنصوص عليها في هذا العقد.</w:t>
      </w:r>
    </w:p>
    <w:p>
      <w:pPr>
        <w:bidi w:val="1"/>
        <w:jc w:val="right"/>
      </w:pPr>
      <w:r>
        <w:rPr>
          <w:b/>
        </w:rPr>
        <w:t>4.2 الأسعار وآلية التسعير:</w:t>
      </w:r>
    </w:p>
    <w:p>
      <w:pPr>
        <w:pStyle w:val="ListBullet"/>
        <w:bidi w:val="1"/>
        <w:jc w:val="right"/>
      </w:pPr>
      <w:r>
        <w:t>سعر الأسطوانة الفارغة (للموزع): _____________ جنيه مصري (قبل الخصم).</w:t>
      </w:r>
    </w:p>
    <w:p>
      <w:pPr>
        <w:pStyle w:val="ListBullet"/>
        <w:bidi w:val="1"/>
        <w:jc w:val="right"/>
      </w:pPr>
      <w:r>
        <w:t>سعر التعبئة الواحدة (للموزع): _____________ جنيه مصري (قبل الخصم).</w:t>
      </w:r>
    </w:p>
    <w:p>
      <w:pPr>
        <w:pStyle w:val="ListBullet"/>
        <w:bidi w:val="1"/>
        <w:jc w:val="right"/>
      </w:pPr>
      <w:r>
        <w:t>الأسعار شاملة لضريبة القيمة المضافة.</w:t>
      </w:r>
    </w:p>
    <w:p>
      <w:pPr>
        <w:pStyle w:val="ListBullet"/>
        <w:bidi w:val="1"/>
        <w:jc w:val="right"/>
      </w:pPr>
      <w:r>
        <w:t>يُطبق الخصم وفقًا للفئة المختارة.</w:t>
      </w:r>
    </w:p>
    <w:p>
      <w:pPr>
        <w:bidi w:val="1"/>
        <w:jc w:val="right"/>
      </w:pPr>
      <w:r>
        <w:rPr>
          <w:b/>
        </w:rPr>
        <w:t>4.3 مراجعة الأسعار:</w:t>
      </w:r>
    </w:p>
    <w:p>
      <w:pPr>
        <w:pStyle w:val="ListBullet"/>
        <w:bidi w:val="1"/>
        <w:jc w:val="right"/>
      </w:pPr>
      <w:r>
        <w:t>يحق للمورد مراجعة الأسعار بحد أقصى مرتين سنويًا.</w:t>
      </w:r>
    </w:p>
    <w:p>
      <w:pPr>
        <w:pStyle w:val="ListBullet"/>
        <w:bidi w:val="1"/>
        <w:jc w:val="right"/>
      </w:pPr>
      <w:r>
        <w:t>يجب إخطار الموزع قبل 60 يومًا من تاريخ سريان الأسعار الجديدة.</w:t>
      </w:r>
    </w:p>
    <w:p>
      <w:pPr>
        <w:pStyle w:val="ListBullet"/>
        <w:bidi w:val="1"/>
        <w:jc w:val="right"/>
      </w:pPr>
      <w:r>
        <w:t>الزيادة السنوية لا تتجاوز 15% من السعر الحالي.</w:t>
      </w:r>
    </w:p>
    <w:p>
      <w:pPr>
        <w:pStyle w:val="ListBullet"/>
        <w:bidi w:val="1"/>
        <w:jc w:val="right"/>
      </w:pPr>
      <w:r>
        <w:t>تُربط مراجعة الأسعار بمؤشر أسعار Argus لغاز البترول المسال في مصر.</w:t>
      </w:r>
    </w:p>
    <w:p>
      <w:pPr>
        <w:pStyle w:val="ListBullet"/>
        <w:bidi w:val="1"/>
        <w:jc w:val="right"/>
      </w:pPr>
      <w:r>
        <w:t>يحق للموزع إنهاء العقد دون غرامات إذا تجاوزت الزيادة 15% في مراجعة واحدة.</w:t>
      </w:r>
    </w:p>
    <w:p>
      <w:pPr>
        <w:bidi w:val="1"/>
        <w:jc w:val="right"/>
      </w:pPr>
      <w:r>
        <w:rPr>
          <w:b/>
        </w:rPr>
        <w:t>4.4 شروط الدفع:</w:t>
      </w:r>
    </w:p>
    <w:p>
      <w:pPr>
        <w:pStyle w:val="ListBullet"/>
        <w:bidi w:val="1"/>
        <w:jc w:val="right"/>
      </w:pPr>
      <w:r>
        <w:t>الدفعة الأولى (التأمين): خلال 7 أيام عمل من توقيع العقد.</w:t>
      </w:r>
    </w:p>
    <w:p>
      <w:pPr>
        <w:pStyle w:val="ListBullet"/>
        <w:bidi w:val="1"/>
        <w:jc w:val="right"/>
      </w:pPr>
      <w:r>
        <w:t>الشراء الأولي: دفع كامل عند استلام الأسطوانات.</w:t>
      </w:r>
    </w:p>
    <w:p>
      <w:pPr>
        <w:pStyle w:val="ListBullet"/>
        <w:bidi w:val="1"/>
        <w:jc w:val="right"/>
      </w:pPr>
      <w:r>
        <w:t>التعبئة اللاحقة: دفع خلال 7 أيام من تاريخ الفاتورة أو حسب الاتفاق.</w:t>
      </w:r>
    </w:p>
    <w:p>
      <w:pPr>
        <w:pStyle w:val="ListBullet"/>
        <w:bidi w:val="1"/>
        <w:jc w:val="right"/>
      </w:pPr>
      <w:r>
        <w:t>طريقة الدفع: تحويل بنكي / شيك مصرفي / نقدي (للمبالغ أقل من 100,000 جنيه).</w:t>
      </w:r>
    </w:p>
    <w:p>
      <w:r>
        <w:br w:type="page"/>
      </w:r>
    </w:p>
    <w:p>
      <w:pPr>
        <w:pStyle w:val="Heading2"/>
        <w:bidi w:val="1"/>
        <w:jc w:val="right"/>
      </w:pPr>
      <w:r>
        <w:t>المادة (5): حوافز الأداء</w:t>
      </w:r>
    </w:p>
    <w:p>
      <w:pPr>
        <w:bidi w:val="1"/>
        <w:jc w:val="right"/>
      </w:pPr>
      <w:r>
        <w:t>5.1 يحصل الموزع على خصم أداء إضافي بناءً على معدل التعبئة السنوي لكل أسطوانة:</w:t>
      </w:r>
    </w:p>
    <w:p>
      <w:pPr>
        <w:pStyle w:val="ListBullet"/>
        <w:bidi w:val="1"/>
        <w:jc w:val="right"/>
      </w:pPr>
      <w:r>
        <w:t>12 تعبئة أو أكثر: +2% خصم إضافي</w:t>
      </w:r>
    </w:p>
    <w:p>
      <w:pPr>
        <w:pStyle w:val="ListBullet"/>
        <w:bidi w:val="1"/>
        <w:jc w:val="right"/>
      </w:pPr>
      <w:r>
        <w:t>13 تعبئة أو أكثر: +3.5% خصم إضافي</w:t>
      </w:r>
    </w:p>
    <w:p>
      <w:pPr>
        <w:pStyle w:val="ListBullet"/>
        <w:bidi w:val="1"/>
        <w:jc w:val="right"/>
      </w:pPr>
      <w:r>
        <w:t>14 تعبئة أو أكثر: +5% خصم إضافي</w:t>
      </w:r>
    </w:p>
    <w:p>
      <w:pPr>
        <w:bidi w:val="1"/>
        <w:jc w:val="right"/>
      </w:pPr>
      <w:r>
        <w:t>5.2 يُحسب معدل التعبئة على أساس متوسط 12 شهرًا متحركة.</w:t>
      </w:r>
    </w:p>
    <w:p>
      <w:pPr>
        <w:bidi w:val="1"/>
        <w:jc w:val="right"/>
      </w:pPr>
      <w:r>
        <w:t>5.3 يُطبق خصم الأداء على الشراء/التعبئة في الشهر التالي لتحقيق المعيار.</w:t>
      </w:r>
    </w:p>
    <w:p>
      <w:pPr>
        <w:pStyle w:val="Heading2"/>
        <w:bidi w:val="1"/>
        <w:jc w:val="right"/>
      </w:pPr>
      <w:r>
        <w:t>المادة (6): مؤشرات الأداء وفترة السماح</w:t>
      </w:r>
    </w:p>
    <w:p>
      <w:pPr>
        <w:bidi w:val="1"/>
        <w:jc w:val="right"/>
      </w:pPr>
      <w:r>
        <w:t>6.1 يلتزم الموزع بتحقيق مؤشرات الأداء الواردة في الملحق (ب) والتي تشمل:</w:t>
      </w:r>
    </w:p>
    <w:p>
      <w:pPr>
        <w:pStyle w:val="ListBullet"/>
        <w:bidi w:val="1"/>
        <w:jc w:val="right"/>
      </w:pPr>
      <w:r>
        <w:t>معدل نشر الأسطوانات (Cylinder Deployment Rate)</w:t>
      </w:r>
    </w:p>
    <w:p>
      <w:pPr>
        <w:pStyle w:val="ListBullet"/>
        <w:bidi w:val="1"/>
        <w:jc w:val="right"/>
      </w:pPr>
      <w:r>
        <w:t>نسبة الأسطوانات النشطة (Active Cylinder Rate)</w:t>
      </w:r>
    </w:p>
    <w:p>
      <w:pPr>
        <w:pStyle w:val="ListBullet"/>
        <w:bidi w:val="1"/>
        <w:jc w:val="right"/>
      </w:pPr>
      <w:r>
        <w:t>معدل التعبئة السنوي (Annual Refill Rate)</w:t>
      </w:r>
    </w:p>
    <w:p>
      <w:pPr>
        <w:pStyle w:val="ListBullet"/>
        <w:bidi w:val="1"/>
        <w:jc w:val="right"/>
      </w:pPr>
      <w:r>
        <w:t>معدل رضا العملاء (Customer Satisfaction - NPS)</w:t>
      </w:r>
    </w:p>
    <w:p>
      <w:pPr>
        <w:pStyle w:val="ListBullet"/>
        <w:bidi w:val="1"/>
        <w:jc w:val="right"/>
      </w:pPr>
      <w:r>
        <w:t>الالتزام بمعايير SLA للتوصيل (Delivery SLA Compliance)</w:t>
      </w:r>
    </w:p>
    <w:p>
      <w:pPr>
        <w:bidi w:val="1"/>
        <w:jc w:val="right"/>
      </w:pPr>
      <w:r>
        <w:rPr>
          <w:b/>
        </w:rPr>
        <w:t>6.2 فترة السماح الإقليمية:</w:t>
      </w:r>
    </w:p>
    <w:p>
      <w:pPr>
        <w:pStyle w:val="ListBullet"/>
        <w:bidi w:val="1"/>
        <w:jc w:val="right"/>
      </w:pPr>
      <w:r>
        <w:t>يُمنح الموزع فترة سماح مدتها 12 شهرًا من تاريخ استلام الأسطوانات.</w:t>
      </w:r>
    </w:p>
    <w:p>
      <w:pPr>
        <w:pStyle w:val="ListBullet"/>
        <w:bidi w:val="1"/>
        <w:jc w:val="right"/>
      </w:pPr>
      <w:r>
        <w:t>خلال فترة السماح، لا يُطبق أي جزاء على عدم تحقيق مؤشرات الأداء الإقليمية.</w:t>
      </w:r>
    </w:p>
    <w:p>
      <w:pPr>
        <w:pStyle w:val="ListBullet"/>
        <w:bidi w:val="1"/>
        <w:jc w:val="right"/>
      </w:pPr>
      <w:r>
        <w:t>بعد انتهاء فترة السماح، تُطبق مؤشرات الأداء بشكل تدريجي وفقًا للملحق (ب).</w:t>
      </w:r>
    </w:p>
    <w:p>
      <w:pPr>
        <w:bidi w:val="1"/>
        <w:jc w:val="right"/>
      </w:pPr>
      <w:r>
        <w:t>6.3 في حالة عدم تحقيق مؤشرات الأداء بعد انتهاء فترة السماح، يحق للمورد:</w:t>
      </w:r>
    </w:p>
    <w:p>
      <w:pPr>
        <w:pStyle w:val="ListBullet"/>
        <w:bidi w:val="1"/>
        <w:jc w:val="right"/>
      </w:pPr>
      <w:r>
        <w:t>إرسال إخطار كتابي بالقصور مع منح 60 يومًا لتصحيح الوضع.</w:t>
      </w:r>
    </w:p>
    <w:p>
      <w:pPr>
        <w:pStyle w:val="ListBullet"/>
        <w:bidi w:val="1"/>
        <w:jc w:val="right"/>
      </w:pPr>
      <w:r>
        <w:t>في حالة عدم التحسين، تخفيض حجم التعاقد أو تعديل النطاق الجغرافي بعد التشاور مع الموزع.</w:t>
      </w:r>
    </w:p>
    <w:p>
      <w:r>
        <w:br w:type="page"/>
      </w:r>
    </w:p>
    <w:p>
      <w:pPr>
        <w:pStyle w:val="Heading2"/>
        <w:bidi w:val="1"/>
        <w:jc w:val="right"/>
      </w:pPr>
      <w:r>
        <w:t>المادة (7): التزامات المورد</w:t>
      </w:r>
    </w:p>
    <w:p>
      <w:pPr>
        <w:bidi w:val="1"/>
        <w:jc w:val="right"/>
      </w:pPr>
      <w:r>
        <w:t>7.1 يلتزم المورد بما يلي:</w:t>
      </w:r>
    </w:p>
    <w:p>
      <w:pPr>
        <w:pStyle w:val="ListBullet"/>
        <w:bidi w:val="1"/>
        <w:jc w:val="right"/>
      </w:pPr>
      <w:r>
        <w:t>توفير أسطوانات EzyGas مطابقة للمواصفات الفنية والمعايير المصرية.</w:t>
      </w:r>
    </w:p>
    <w:p>
      <w:pPr>
        <w:pStyle w:val="ListBullet"/>
        <w:bidi w:val="1"/>
        <w:jc w:val="right"/>
      </w:pPr>
      <w:r>
        <w:t>تعبئة الأسطوانات بغاز بترول مسال عالي الجودة وفقًا للمواصفات المعتمدة.</w:t>
      </w:r>
    </w:p>
    <w:p>
      <w:pPr>
        <w:pStyle w:val="ListBullet"/>
        <w:bidi w:val="1"/>
        <w:jc w:val="right"/>
      </w:pPr>
      <w:r>
        <w:t>توفير الوصول الكامل للموزع إلى منصة EzyGas (التطبيق + بوابة الإدارة).</w:t>
      </w:r>
    </w:p>
    <w:p>
      <w:pPr>
        <w:pStyle w:val="ListBullet"/>
        <w:bidi w:val="1"/>
        <w:jc w:val="right"/>
      </w:pPr>
      <w:r>
        <w:t>ضمان استقرار المنصة بنسبة 99.5% وقت تشغيل (Uptime) شهريًا.</w:t>
      </w:r>
    </w:p>
    <w:p>
      <w:pPr>
        <w:pStyle w:val="ListBullet"/>
        <w:bidi w:val="1"/>
        <w:jc w:val="right"/>
      </w:pPr>
      <w:r>
        <w:t>توفير التدريب الفني والتشغيلي للموزع وفريقه (مرة واحدة عند البدء + دعم مستمر).</w:t>
      </w:r>
    </w:p>
    <w:p>
      <w:pPr>
        <w:pStyle w:val="ListBullet"/>
        <w:bidi w:val="1"/>
        <w:jc w:val="right"/>
      </w:pPr>
      <w:r>
        <w:t>الاستجابة لطلبات الدعم الفني خلال 24 ساعة.</w:t>
      </w:r>
    </w:p>
    <w:p>
      <w:pPr>
        <w:pStyle w:val="ListBullet"/>
        <w:bidi w:val="1"/>
        <w:jc w:val="right"/>
      </w:pPr>
      <w:r>
        <w:t>توفير مواد تسويقية ودعائية بعلامة EzyGas التجارية.</w:t>
      </w:r>
    </w:p>
    <w:p>
      <w:pPr>
        <w:bidi w:val="1"/>
        <w:jc w:val="right"/>
      </w:pPr>
      <w:r>
        <w:t>7.2 في حالة انخفاض وقت تشغيل المنصة عن 99.5% لمدة 3 أشهر متتالية، يحق للموزع:</w:t>
      </w:r>
    </w:p>
    <w:p>
      <w:pPr>
        <w:pStyle w:val="ListBullet"/>
        <w:bidi w:val="1"/>
        <w:jc w:val="right"/>
      </w:pPr>
      <w:r>
        <w:t>تخفيض رسوم الاشتراك الشهرية (إن وجدت) بنسبة تعادل نسبة التوقف.</w:t>
      </w:r>
    </w:p>
    <w:p>
      <w:pPr>
        <w:pStyle w:val="ListBullet"/>
        <w:bidi w:val="1"/>
        <w:jc w:val="right"/>
      </w:pPr>
      <w:r>
        <w:t>إنهاء العقد دون غرامات إذا استمر القصور لأكثر من 6 أشهر.</w:t>
      </w:r>
    </w:p>
    <w:p>
      <w:pPr>
        <w:pStyle w:val="Heading2"/>
        <w:bidi w:val="1"/>
        <w:jc w:val="right"/>
      </w:pPr>
      <w:r>
        <w:t>المادة (8): التزامات الموزع</w:t>
      </w:r>
    </w:p>
    <w:p>
      <w:pPr>
        <w:bidi w:val="1"/>
        <w:jc w:val="right"/>
      </w:pPr>
      <w:r>
        <w:t>8.1 يلتزم الموزع بما يلي:</w:t>
      </w:r>
    </w:p>
    <w:p>
      <w:pPr>
        <w:pStyle w:val="ListBullet"/>
        <w:bidi w:val="1"/>
        <w:jc w:val="right"/>
      </w:pPr>
      <w:r>
        <w:t>استخدام منصة EzyGas لتسجيل جميع المعاملات (الطلبات، التوصيل، التعبئة، المدفوعات).</w:t>
      </w:r>
    </w:p>
    <w:p>
      <w:pPr>
        <w:pStyle w:val="ListBullet"/>
        <w:bidi w:val="1"/>
        <w:jc w:val="right"/>
      </w:pPr>
      <w:r>
        <w:t>الحفاظ على الأسطوانات في حالة جيدة وإعادتها للتعبئة بشكل منتظم.</w:t>
      </w:r>
    </w:p>
    <w:p>
      <w:pPr>
        <w:pStyle w:val="ListBullet"/>
        <w:bidi w:val="1"/>
        <w:jc w:val="right"/>
      </w:pPr>
      <w:r>
        <w:t>الالتزام بمعايير السلامة المهنية والتخزين الآمن للأسطوانات.</w:t>
      </w:r>
    </w:p>
    <w:p>
      <w:pPr>
        <w:pStyle w:val="ListBullet"/>
        <w:bidi w:val="1"/>
        <w:jc w:val="right"/>
      </w:pPr>
      <w:r>
        <w:t>عدم بيع أو تأجير الأسطوانات لأطراف ثالثة دون موافقة المورد الكتابية.</w:t>
      </w:r>
    </w:p>
    <w:p>
      <w:pPr>
        <w:pStyle w:val="ListBullet"/>
        <w:bidi w:val="1"/>
        <w:jc w:val="right"/>
      </w:pPr>
      <w:r>
        <w:t>تحديث بيانات المخزون والعملاء على المنصة بشكل يومي.</w:t>
      </w:r>
    </w:p>
    <w:p>
      <w:pPr>
        <w:pStyle w:val="ListBullet"/>
        <w:bidi w:val="1"/>
        <w:jc w:val="right"/>
      </w:pPr>
      <w:r>
        <w:t>الالتزام بسياسة التسعير الموحدة للمستهلك النهائي (إن وجدت).</w:t>
      </w:r>
    </w:p>
    <w:p>
      <w:pPr>
        <w:pStyle w:val="ListBullet"/>
        <w:bidi w:val="1"/>
        <w:jc w:val="right"/>
      </w:pPr>
      <w:r>
        <w:t>عدم تشويه سمعة العلامة التجارية أو الإضرار بصورتها.</w:t>
      </w:r>
    </w:p>
    <w:p>
      <w:pPr>
        <w:pStyle w:val="ListBullet"/>
        <w:bidi w:val="1"/>
        <w:jc w:val="right"/>
      </w:pPr>
      <w:r>
        <w:t>الإبلاغ عن أي أسطوانات مفقودة/تالفة خلال 48 ساعة من اكتشافها.</w:t>
      </w:r>
    </w:p>
    <w:p>
      <w:pPr>
        <w:bidi w:val="1"/>
        <w:jc w:val="right"/>
      </w:pPr>
      <w:r>
        <w:t>8.2 في حالة فقدان/تلف الأسطوانات:</w:t>
      </w:r>
    </w:p>
    <w:p>
      <w:pPr>
        <w:pStyle w:val="ListBullet"/>
        <w:bidi w:val="1"/>
        <w:jc w:val="right"/>
      </w:pPr>
      <w:r>
        <w:t>يتحمل الموزع قيمة الأسطوانة المفقودة/التالفة (سعر الشراء قبل الخصم).</w:t>
      </w:r>
    </w:p>
    <w:p>
      <w:pPr>
        <w:pStyle w:val="ListBullet"/>
        <w:bidi w:val="1"/>
        <w:jc w:val="right"/>
      </w:pPr>
      <w:r>
        <w:t>يتم الخصم من التأمين ويُطلب من الموزع تعويض الفرق خلال 30 يومًا.</w:t>
      </w:r>
    </w:p>
    <w:p>
      <w:pPr>
        <w:pStyle w:val="ListBullet"/>
        <w:bidi w:val="1"/>
        <w:jc w:val="right"/>
      </w:pPr>
      <w:r>
        <w:t>إذا تجاوز معدل الفقدان/التلف 2% سنويًا، يحق للمورد إجراء تدقيق ميداني على نفقة الموزع.</w:t>
      </w:r>
    </w:p>
    <w:p>
      <w:r>
        <w:br w:type="page"/>
      </w:r>
    </w:p>
    <w:p>
      <w:pPr>
        <w:pStyle w:val="Heading2"/>
        <w:bidi w:val="1"/>
        <w:jc w:val="right"/>
      </w:pPr>
      <w:r>
        <w:t>المادة (9): الموزعون الفرعيون</w:t>
      </w:r>
    </w:p>
    <w:p>
      <w:pPr>
        <w:bidi w:val="1"/>
        <w:jc w:val="right"/>
      </w:pPr>
      <w:r>
        <w:t>9.1 يحق للموزع تعيين موزعين فرعيين ضمن النطاق الجغرافي شريطة:</w:t>
      </w:r>
    </w:p>
    <w:p>
      <w:pPr>
        <w:pStyle w:val="ListBullet"/>
        <w:bidi w:val="1"/>
        <w:jc w:val="right"/>
      </w:pPr>
      <w:r>
        <w:t>الحصول على موافقة خطية مسبقة من المورد.</w:t>
      </w:r>
    </w:p>
    <w:p>
      <w:pPr>
        <w:pStyle w:val="ListBullet"/>
        <w:bidi w:val="1"/>
        <w:jc w:val="right"/>
      </w:pPr>
      <w:r>
        <w:t>تقديم طلب الموافقة يتضمن: اسم الموزع الفرعي، سجله التجاري، النطاق الجغرافي، حجم التعاقد.</w:t>
      </w:r>
    </w:p>
    <w:p>
      <w:pPr>
        <w:pStyle w:val="ListBullet"/>
        <w:bidi w:val="1"/>
        <w:jc w:val="right"/>
      </w:pPr>
      <w:r>
        <w:t>يُعتبر الطلب موافقًا عليه تلقائيًا إذا لم يرد المورد خلال 21 يوم عمل.</w:t>
      </w:r>
    </w:p>
    <w:p>
      <w:pPr>
        <w:pStyle w:val="ListBullet"/>
        <w:bidi w:val="1"/>
        <w:jc w:val="right"/>
      </w:pPr>
      <w:r>
        <w:t>يظل الموزع مسؤولًا قانونيًا وماليًا عن جميع تصرفات الموزعين الفرعيين.</w:t>
      </w:r>
    </w:p>
    <w:p>
      <w:pPr>
        <w:bidi w:val="1"/>
        <w:jc w:val="right"/>
      </w:pPr>
      <w:r>
        <w:t>9.2 يلتزم الموزع الفرعي بجميع الشروط الواردة في هذا العقد.</w:t>
      </w:r>
    </w:p>
    <w:p>
      <w:pPr>
        <w:pStyle w:val="Heading2"/>
        <w:bidi w:val="1"/>
        <w:jc w:val="right"/>
      </w:pPr>
      <w:r>
        <w:t>المادة (10): مدة العقد والتجديد</w:t>
      </w:r>
    </w:p>
    <w:p>
      <w:pPr>
        <w:bidi w:val="1"/>
        <w:jc w:val="right"/>
      </w:pPr>
      <w:r>
        <w:t>10.1 مدة العقد: 5 سنوات تبدأ من تاريخ التوقيع.</w:t>
      </w:r>
    </w:p>
    <w:p>
      <w:pPr>
        <w:bidi w:val="1"/>
        <w:jc w:val="right"/>
      </w:pPr>
      <w:r>
        <w:t>10.2 يُجدد العقد تلقائيًا لفترة مماثلة ما لم يُخطر أحد الطرفين الآخر كتابيًا قبل 90 يومًا من انتهاء المدة.</w:t>
      </w:r>
    </w:p>
    <w:p>
      <w:pPr>
        <w:bidi w:val="1"/>
        <w:jc w:val="right"/>
      </w:pPr>
      <w:r>
        <w:t>10.3 شروط التجديد:</w:t>
      </w:r>
    </w:p>
    <w:p>
      <w:pPr>
        <w:pStyle w:val="ListBullet"/>
        <w:bidi w:val="1"/>
        <w:jc w:val="right"/>
      </w:pPr>
      <w:r>
        <w:t>يتم مراجعة الفئة ومؤشرات الأداء بالتراضي.</w:t>
      </w:r>
    </w:p>
    <w:p>
      <w:pPr>
        <w:pStyle w:val="ListBullet"/>
        <w:bidi w:val="1"/>
        <w:jc w:val="right"/>
      </w:pPr>
      <w:r>
        <w:t>يُعاد النظر في الأسعار وفقًا لمؤشر Argus.</w:t>
      </w:r>
    </w:p>
    <w:p>
      <w:pPr>
        <w:pStyle w:val="ListBullet"/>
        <w:bidi w:val="1"/>
        <w:jc w:val="right"/>
      </w:pPr>
      <w:r>
        <w:t>يجوز تعديل النطاق الجغرافي بالاتفاق المشترك.</w:t>
      </w:r>
    </w:p>
    <w:p>
      <w:r>
        <w:br w:type="page"/>
      </w:r>
    </w:p>
    <w:p>
      <w:pPr>
        <w:pStyle w:val="Heading2"/>
        <w:bidi w:val="1"/>
        <w:jc w:val="right"/>
      </w:pPr>
      <w:r>
        <w:t>المادة (11): إنهاء العقد</w:t>
      </w:r>
    </w:p>
    <w:p>
      <w:pPr>
        <w:bidi w:val="1"/>
        <w:jc w:val="right"/>
      </w:pPr>
      <w:r>
        <w:rPr>
          <w:b/>
        </w:rPr>
        <w:t>11.1 الإنهاء الاختياري:</w:t>
      </w:r>
    </w:p>
    <w:p>
      <w:pPr>
        <w:pStyle w:val="ListBullet"/>
        <w:bidi w:val="1"/>
        <w:jc w:val="right"/>
      </w:pPr>
      <w:r>
        <w:t>يحق لأي من الطرفين إنهاء العقد بإخطار كتابي قبل 90 يومًا.</w:t>
      </w:r>
    </w:p>
    <w:p>
      <w:pPr>
        <w:pStyle w:val="ListBullet"/>
        <w:bidi w:val="1"/>
        <w:jc w:val="right"/>
      </w:pPr>
      <w:r>
        <w:t>في حالة الإنهاء الاختياري، يتحمل الطرف المُنهي تكلفة إلغاء لا تتجاوز 2% من قيمة التأمين.</w:t>
      </w:r>
    </w:p>
    <w:p>
      <w:pPr>
        <w:bidi w:val="1"/>
        <w:jc w:val="right"/>
      </w:pPr>
      <w:r>
        <w:rPr>
          <w:b/>
        </w:rPr>
        <w:t>11.2 الإنهاء الفوري (لسبب مشروع):</w:t>
      </w:r>
    </w:p>
    <w:p>
      <w:pPr>
        <w:bidi w:val="1"/>
        <w:jc w:val="right"/>
      </w:pPr>
      <w:r>
        <w:t>يحق للمورد إنهاء العقد فورًا في الحالات التالية:</w:t>
      </w:r>
    </w:p>
    <w:p>
      <w:pPr>
        <w:pStyle w:val="ListBullet"/>
        <w:bidi w:val="1"/>
        <w:jc w:val="right"/>
      </w:pPr>
      <w:r>
        <w:t>عدم دفع المستحقات المالية لمدة 30 يومًا بعد الإخطار الكتابي.</w:t>
      </w:r>
    </w:p>
    <w:p>
      <w:pPr>
        <w:pStyle w:val="ListBullet"/>
        <w:bidi w:val="1"/>
        <w:jc w:val="right"/>
      </w:pPr>
      <w:r>
        <w:t>الإخلال الجسيم بشروط السلامة أو معايير الجودة.</w:t>
      </w:r>
    </w:p>
    <w:p>
      <w:pPr>
        <w:pStyle w:val="ListBullet"/>
        <w:bidi w:val="1"/>
        <w:jc w:val="right"/>
      </w:pPr>
      <w:r>
        <w:t>استخدام الأسطوانات لأغراض غير قانونية.</w:t>
      </w:r>
    </w:p>
    <w:p>
      <w:pPr>
        <w:pStyle w:val="ListBullet"/>
        <w:bidi w:val="1"/>
        <w:jc w:val="right"/>
      </w:pPr>
      <w:r>
        <w:t>إفلاس الموزع أو توقفه عن النشاط التجاري.</w:t>
      </w:r>
    </w:p>
    <w:p>
      <w:pPr>
        <w:pStyle w:val="ListBullet"/>
        <w:bidi w:val="1"/>
        <w:jc w:val="right"/>
      </w:pPr>
      <w:r>
        <w:t>نقل ملكية الشركة/النشاط دون إخطار المورد.</w:t>
      </w:r>
    </w:p>
    <w:p>
      <w:pPr>
        <w:bidi w:val="1"/>
        <w:jc w:val="right"/>
      </w:pPr>
      <w:r>
        <w:t>يحق للموزع إنهاء العقد فورًا في الحالات التالية:</w:t>
      </w:r>
    </w:p>
    <w:p>
      <w:pPr>
        <w:pStyle w:val="ListBullet"/>
        <w:bidi w:val="1"/>
        <w:jc w:val="right"/>
      </w:pPr>
      <w:r>
        <w:t>انخفاض وقت تشغيل المنصة عن 95% لمدة 6 أشهر متتالية.</w:t>
      </w:r>
    </w:p>
    <w:p>
      <w:pPr>
        <w:pStyle w:val="ListBullet"/>
        <w:bidi w:val="1"/>
        <w:jc w:val="right"/>
      </w:pPr>
      <w:r>
        <w:t>توقف المورد عن توفير الأسطوانات أو التعبئة لأكثر من 30 يومًا دون سبب قهري.</w:t>
      </w:r>
    </w:p>
    <w:p>
      <w:pPr>
        <w:pStyle w:val="ListBullet"/>
        <w:bidi w:val="1"/>
        <w:jc w:val="right"/>
      </w:pPr>
      <w:r>
        <w:t>زيادة الأسعار بما يتجاوز 15% في مراجعة واحدة دون ربطها بمؤشر Argus.</w:t>
      </w:r>
    </w:p>
    <w:p>
      <w:pPr>
        <w:pStyle w:val="ListBullet"/>
        <w:bidi w:val="1"/>
        <w:jc w:val="right"/>
      </w:pPr>
      <w:r>
        <w:t>إفلاس المورد أو توقفه عن الإنتاج.</w:t>
      </w:r>
    </w:p>
    <w:p>
      <w:pPr>
        <w:bidi w:val="1"/>
        <w:jc w:val="right"/>
      </w:pPr>
      <w:r>
        <w:rPr>
          <w:b/>
        </w:rPr>
        <w:t>11.3 الإجراءات عند الإنهاء:</w:t>
      </w:r>
    </w:p>
    <w:p>
      <w:pPr>
        <w:pStyle w:val="ListBullet"/>
        <w:bidi w:val="1"/>
        <w:jc w:val="right"/>
      </w:pPr>
      <w:r>
        <w:t>يُعيد الموزع جميع الأسطوانات الفارغة إلى المورد خلال 60 يومًا.</w:t>
      </w:r>
    </w:p>
    <w:p>
      <w:pPr>
        <w:pStyle w:val="ListBullet"/>
        <w:bidi w:val="1"/>
        <w:jc w:val="right"/>
      </w:pPr>
      <w:r>
        <w:t>يسترد الموزع التأمين بالكامل بعد خصم أي مستحقات للمورد.</w:t>
      </w:r>
    </w:p>
    <w:p>
      <w:pPr>
        <w:pStyle w:val="ListBullet"/>
        <w:bidi w:val="1"/>
        <w:jc w:val="right"/>
      </w:pPr>
      <w:r>
        <w:t>يُسوى الحساب المالي النهائي خلال 30 يومًا من إعادة الأسطوانات.</w:t>
      </w:r>
    </w:p>
    <w:p>
      <w:pPr>
        <w:pStyle w:val="ListBullet"/>
        <w:bidi w:val="1"/>
        <w:jc w:val="right"/>
      </w:pPr>
      <w:r>
        <w:t>يتوقف حق الموزع في استخدام علامة EzyGas التجارية فورًا.</w:t>
      </w:r>
    </w:p>
    <w:p>
      <w:r>
        <w:br w:type="page"/>
      </w:r>
    </w:p>
    <w:p>
      <w:pPr>
        <w:pStyle w:val="Heading2"/>
        <w:bidi w:val="1"/>
        <w:jc w:val="right"/>
      </w:pPr>
      <w:r>
        <w:t>المادة (12): حقوق الملكية الفكرية</w:t>
      </w:r>
    </w:p>
    <w:p>
      <w:pPr>
        <w:pStyle w:val="ListBullet"/>
        <w:bidi w:val="1"/>
        <w:jc w:val="right"/>
      </w:pPr>
      <w:r>
        <w:t>تظل جميع حقوق الملكية الفكرية (العلامة التجارية، التطبيق، المواد التسويقية) ملكًا حصريًا للمورد.</w:t>
      </w:r>
    </w:p>
    <w:p>
      <w:pPr>
        <w:pStyle w:val="ListBullet"/>
        <w:bidi w:val="1"/>
        <w:jc w:val="right"/>
      </w:pPr>
      <w:r>
        <w:t>يُمنح الموزع حق استخدام غير حصري للعلامة التجارية EzyGas خلال مدة العقد فقط.</w:t>
      </w:r>
    </w:p>
    <w:p>
      <w:pPr>
        <w:pStyle w:val="ListBullet"/>
        <w:bidi w:val="1"/>
        <w:jc w:val="right"/>
      </w:pPr>
      <w:r>
        <w:t>لا يحق للموزع تسجيل أو استخدام أي علامة تجارية مشابهة أو منافسة.</w:t>
      </w:r>
    </w:p>
    <w:p>
      <w:pPr>
        <w:pStyle w:val="ListBullet"/>
        <w:bidi w:val="1"/>
        <w:jc w:val="right"/>
      </w:pPr>
      <w:r>
        <w:t>عند إنهاء العقد، يتوقف الموزع فورًا عن استخدام العلامة التجارية ويُزيل جميع المواد الدعائية.</w:t>
      </w:r>
    </w:p>
    <w:p>
      <w:pPr>
        <w:pStyle w:val="Heading2"/>
        <w:bidi w:val="1"/>
        <w:jc w:val="right"/>
      </w:pPr>
      <w:r>
        <w:t>المادة (13): السرية وحماية البيانات</w:t>
      </w:r>
    </w:p>
    <w:p>
      <w:pPr>
        <w:bidi w:val="1"/>
        <w:jc w:val="right"/>
      </w:pPr>
      <w:r>
        <w:t>13.1 يلتزم الطرفان بالحفاظ على سرية:</w:t>
      </w:r>
    </w:p>
    <w:p>
      <w:pPr>
        <w:pStyle w:val="ListBullet"/>
        <w:bidi w:val="1"/>
        <w:jc w:val="right"/>
      </w:pPr>
      <w:r>
        <w:t>المعلومات المالية والتجارية.</w:t>
      </w:r>
    </w:p>
    <w:p>
      <w:pPr>
        <w:pStyle w:val="ListBullet"/>
        <w:bidi w:val="1"/>
        <w:jc w:val="right"/>
      </w:pPr>
      <w:r>
        <w:t>بيانات العملاء والمعاملات.</w:t>
      </w:r>
    </w:p>
    <w:p>
      <w:pPr>
        <w:pStyle w:val="ListBullet"/>
        <w:bidi w:val="1"/>
        <w:jc w:val="right"/>
      </w:pPr>
      <w:r>
        <w:t>التقنيات والأنظمة المستخدمة في المنصة.</w:t>
      </w:r>
    </w:p>
    <w:p>
      <w:pPr>
        <w:pStyle w:val="ListBullet"/>
        <w:bidi w:val="1"/>
        <w:jc w:val="right"/>
      </w:pPr>
      <w:r>
        <w:t>استراتيجيات التسويق والتسعير.</w:t>
      </w:r>
    </w:p>
    <w:p>
      <w:pPr>
        <w:bidi w:val="1"/>
        <w:jc w:val="right"/>
      </w:pPr>
      <w:r>
        <w:t>13.2 يسري التزام السرية خلال مدة العقد ولمدة 3 سنوات بعد انتهائه.</w:t>
      </w:r>
    </w:p>
    <w:p>
      <w:pPr>
        <w:bidi w:val="1"/>
        <w:jc w:val="right"/>
      </w:pPr>
      <w:r>
        <w:t>13.3 حماية البيانات:</w:t>
      </w:r>
    </w:p>
    <w:p>
      <w:pPr>
        <w:pStyle w:val="ListBullet"/>
        <w:bidi w:val="1"/>
        <w:jc w:val="right"/>
      </w:pPr>
      <w:r>
        <w:t>يلتزم الموزع بقانون حماية البيانات الشخصية المصري رقم 151 لسنة 2020.</w:t>
      </w:r>
    </w:p>
    <w:p>
      <w:pPr>
        <w:pStyle w:val="ListBullet"/>
        <w:bidi w:val="1"/>
        <w:jc w:val="right"/>
      </w:pPr>
      <w:r>
        <w:t>لا يحق للموزع استخدام بيانات العملاء لأغراض تجارية أخرى.</w:t>
      </w:r>
    </w:p>
    <w:p>
      <w:pPr>
        <w:pStyle w:val="ListBullet"/>
        <w:bidi w:val="1"/>
        <w:jc w:val="right"/>
      </w:pPr>
      <w:r>
        <w:t>يجب الإبلاغ عن أي اختراق أمني خلال 24 ساعة.</w:t>
      </w:r>
    </w:p>
    <w:p>
      <w:r>
        <w:br w:type="page"/>
      </w:r>
    </w:p>
    <w:p>
      <w:pPr>
        <w:pStyle w:val="Heading2"/>
        <w:bidi w:val="1"/>
        <w:jc w:val="right"/>
      </w:pPr>
      <w:r>
        <w:t>المادة (14): الضمانات والمسؤوليات</w:t>
      </w:r>
    </w:p>
    <w:p>
      <w:pPr>
        <w:bidi w:val="1"/>
        <w:jc w:val="right"/>
      </w:pPr>
      <w:r>
        <w:t>14.1 ضمانات المورد:</w:t>
      </w:r>
    </w:p>
    <w:p>
      <w:pPr>
        <w:pStyle w:val="ListBullet"/>
        <w:bidi w:val="1"/>
        <w:jc w:val="right"/>
      </w:pPr>
      <w:r>
        <w:t>الأسطوانات مطابقة للمواصفات الفنية وخالية من عيوب التصنيع.</w:t>
      </w:r>
    </w:p>
    <w:p>
      <w:pPr>
        <w:pStyle w:val="ListBullet"/>
        <w:bidi w:val="1"/>
        <w:jc w:val="right"/>
      </w:pPr>
      <w:r>
        <w:t>ضمان التصنيع: 10-15 سنة على جسم الأسطوانة (وفقًا لشروط الاستخدام الصحيح).</w:t>
      </w:r>
    </w:p>
    <w:p>
      <w:pPr>
        <w:pStyle w:val="ListBullet"/>
        <w:bidi w:val="1"/>
        <w:jc w:val="right"/>
      </w:pPr>
      <w:r>
        <w:t>استبدال أي أسطوانة معيبة خلال 30 يومًا من الإبلاغ.</w:t>
      </w:r>
    </w:p>
    <w:p>
      <w:pPr>
        <w:bidi w:val="1"/>
        <w:jc w:val="right"/>
      </w:pPr>
      <w:r>
        <w:t>14.2 حدود المسؤولية:</w:t>
      </w:r>
    </w:p>
    <w:p>
      <w:pPr>
        <w:pStyle w:val="ListBullet"/>
        <w:bidi w:val="1"/>
        <w:jc w:val="right"/>
      </w:pPr>
      <w:r>
        <w:t>لا يتحمل المورد مسؤولية الأضرار الناتجة عن سوء الاستخدام أو الإهمال.</w:t>
      </w:r>
    </w:p>
    <w:p>
      <w:pPr>
        <w:pStyle w:val="ListBullet"/>
        <w:bidi w:val="1"/>
        <w:jc w:val="right"/>
      </w:pPr>
      <w:r>
        <w:t>الحد الأقصى لمسؤولية المورد: قيمة التأمين المدفوع.</w:t>
      </w:r>
    </w:p>
    <w:p>
      <w:pPr>
        <w:pStyle w:val="ListBullet"/>
        <w:bidi w:val="1"/>
        <w:jc w:val="right"/>
      </w:pPr>
      <w:r>
        <w:t>لا يتحمل أي من الطرفين مسؤولية الأضرار غير المباشرة أو الخسائر المعنوية.</w:t>
      </w:r>
    </w:p>
    <w:p>
      <w:pPr>
        <w:bidi w:val="1"/>
        <w:jc w:val="right"/>
      </w:pPr>
      <w:r>
        <w:t>14.3 التأمين:</w:t>
      </w:r>
    </w:p>
    <w:p>
      <w:pPr>
        <w:pStyle w:val="ListBullet"/>
        <w:bidi w:val="1"/>
        <w:jc w:val="right"/>
      </w:pPr>
      <w:r>
        <w:t>يلتزم الموزع بالحصول على تأمين تجاري شامل يغطي المسؤولية المدنية.</w:t>
      </w:r>
    </w:p>
    <w:p>
      <w:pPr>
        <w:pStyle w:val="ListBullet"/>
        <w:bidi w:val="1"/>
        <w:jc w:val="right"/>
      </w:pPr>
      <w:r>
        <w:t>حد التغطية الأدنى: _____________ جنيه مصري.</w:t>
      </w:r>
    </w:p>
    <w:p>
      <w:pPr>
        <w:pStyle w:val="ListBullet"/>
        <w:bidi w:val="1"/>
        <w:jc w:val="right"/>
      </w:pPr>
      <w:r>
        <w:t>يُقدم إثبات التأمين للمورد سنويًا.</w:t>
      </w:r>
    </w:p>
    <w:p>
      <w:pPr>
        <w:pStyle w:val="Heading2"/>
        <w:bidi w:val="1"/>
        <w:jc w:val="right"/>
      </w:pPr>
      <w:r>
        <w:t>المادة (15): القوة القاهرة</w:t>
      </w:r>
    </w:p>
    <w:p>
      <w:pPr>
        <w:bidi w:val="1"/>
        <w:jc w:val="right"/>
      </w:pPr>
      <w:r>
        <w:t>15.1 لا يُعتبر أي من الطرفين مخلًا بالتزاماته في حالة حدوث قوة قاهرة تشمل:</w:t>
      </w:r>
    </w:p>
    <w:p>
      <w:pPr>
        <w:pStyle w:val="ListBullet"/>
        <w:bidi w:val="1"/>
        <w:jc w:val="right"/>
      </w:pPr>
      <w:r>
        <w:t>الكوارث الطبيعية (زلازل، فيضانات، حرائق).</w:t>
      </w:r>
    </w:p>
    <w:p>
      <w:pPr>
        <w:pStyle w:val="ListBullet"/>
        <w:bidi w:val="1"/>
        <w:jc w:val="right"/>
      </w:pPr>
      <w:r>
        <w:t>الحروب، الاضطرابات المدنية، الأعمال الإرهابية.</w:t>
      </w:r>
    </w:p>
    <w:p>
      <w:pPr>
        <w:pStyle w:val="ListBullet"/>
        <w:bidi w:val="1"/>
        <w:jc w:val="right"/>
      </w:pPr>
      <w:r>
        <w:t>تغييرات تشريعية أو قرارات حكومية.</w:t>
      </w:r>
    </w:p>
    <w:p>
      <w:pPr>
        <w:pStyle w:val="ListBullet"/>
        <w:bidi w:val="1"/>
        <w:jc w:val="right"/>
      </w:pPr>
      <w:r>
        <w:t>انقطاع الخدمات العامة (كهرباء، اتصالات) لأسباب خارجة عن الإرادة.</w:t>
      </w:r>
    </w:p>
    <w:p>
      <w:pPr>
        <w:bidi w:val="1"/>
        <w:jc w:val="right"/>
      </w:pPr>
      <w:r>
        <w:t>15.2 يجب على الطرف المتأثر إخطار الآخر خلال 7 أيام وتقديم ما يُثبت حالة القوة القاهرة.</w:t>
      </w:r>
    </w:p>
    <w:p>
      <w:pPr>
        <w:bidi w:val="1"/>
        <w:jc w:val="right"/>
      </w:pPr>
      <w:r>
        <w:t>15.3 إذا استمرت القوة القاهرة لأكثر من 90 يومًا، يحق لأي طرف إنهاء العقد دون غرامات.</w:t>
      </w:r>
    </w:p>
    <w:p>
      <w:r>
        <w:br w:type="page"/>
      </w:r>
    </w:p>
    <w:p>
      <w:pPr>
        <w:pStyle w:val="Heading2"/>
        <w:bidi w:val="1"/>
        <w:jc w:val="right"/>
      </w:pPr>
      <w:r>
        <w:t>المادة (16): تسوية المنازعات</w:t>
      </w:r>
    </w:p>
    <w:p>
      <w:pPr>
        <w:bidi w:val="1"/>
        <w:jc w:val="right"/>
      </w:pPr>
      <w:r>
        <w:t>16.1 في حالة نشوء أي نزاع، يلتزم الطرفان بمحاولة التسوية الودية خلال 30 يومًا.</w:t>
      </w:r>
    </w:p>
    <w:p>
      <w:pPr>
        <w:bidi w:val="1"/>
        <w:jc w:val="right"/>
      </w:pPr>
      <w:r>
        <w:t>16.2 إذا تعذرت التسوية الودية، يتم اللجوء إلى:</w:t>
      </w:r>
    </w:p>
    <w:p>
      <w:pPr>
        <w:pStyle w:val="ListBullet"/>
        <w:bidi w:val="1"/>
        <w:jc w:val="right"/>
      </w:pPr>
      <w:r>
        <w:t>[الوساطة / التحكيم] وفقًا لقواعد مركز القاهرة الإقليمي للتحكيم التجاري الدولي.</w:t>
      </w:r>
    </w:p>
    <w:p>
      <w:pPr>
        <w:pStyle w:val="ListBullet"/>
        <w:bidi w:val="1"/>
        <w:jc w:val="right"/>
      </w:pPr>
      <w:r>
        <w:t>لغة التحكيم: العربية.</w:t>
      </w:r>
    </w:p>
    <w:p>
      <w:pPr>
        <w:pStyle w:val="ListBullet"/>
        <w:bidi w:val="1"/>
        <w:jc w:val="right"/>
      </w:pPr>
      <w:r>
        <w:t>مكان التحكيم: القاهرة، جمهورية مصر العربية.</w:t>
      </w:r>
    </w:p>
    <w:p>
      <w:pPr>
        <w:pStyle w:val="ListBullet"/>
        <w:bidi w:val="1"/>
        <w:jc w:val="right"/>
      </w:pPr>
      <w:r>
        <w:t>قرار المحكّم/الوسيط يكون نهائيًا وملزمًا للطرفين.</w:t>
      </w:r>
    </w:p>
    <w:p>
      <w:pPr>
        <w:bidi w:val="1"/>
        <w:jc w:val="right"/>
      </w:pPr>
      <w:r>
        <w:t>16.3 الاختصاص القضائي: في حالة عدم اللجوء للتحكيم، تختص محاكم [القاهرة / مقر المورد] بنظر النزاع.</w:t>
      </w:r>
    </w:p>
    <w:p>
      <w:pPr>
        <w:pStyle w:val="Heading2"/>
        <w:bidi w:val="1"/>
        <w:jc w:val="right"/>
      </w:pPr>
      <w:r>
        <w:t>المادة (17): أحكام ختامية</w:t>
      </w:r>
    </w:p>
    <w:p>
      <w:pPr>
        <w:pStyle w:val="ListBullet"/>
        <w:bidi w:val="1"/>
        <w:jc w:val="right"/>
      </w:pPr>
      <w:r>
        <w:t>يخضع هذا العقد لأحكام القانون المصري.</w:t>
      </w:r>
    </w:p>
    <w:p>
      <w:pPr>
        <w:pStyle w:val="ListBullet"/>
        <w:bidi w:val="1"/>
        <w:jc w:val="right"/>
      </w:pPr>
      <w:r>
        <w:t>أي تعديل على هذا العقد يجب أن يكون كتابيًا وموقعًا من الطرفين.</w:t>
      </w:r>
    </w:p>
    <w:p>
      <w:pPr>
        <w:pStyle w:val="ListBullet"/>
        <w:bidi w:val="1"/>
        <w:jc w:val="right"/>
      </w:pPr>
      <w:r>
        <w:t>إذا تبين بطلان أي بند، يظل العقد ساريًا في باقي البنود.</w:t>
      </w:r>
    </w:p>
    <w:p>
      <w:pPr>
        <w:pStyle w:val="ListBullet"/>
        <w:bidi w:val="1"/>
        <w:jc w:val="right"/>
      </w:pPr>
      <w:r>
        <w:t>الملاحق جزء لا يتجزأ من هذا العقد ولها نفس القوة القانونية.</w:t>
      </w:r>
    </w:p>
    <w:p>
      <w:pPr>
        <w:pStyle w:val="ListBullet"/>
        <w:bidi w:val="1"/>
        <w:jc w:val="right"/>
      </w:pPr>
      <w:r>
        <w:t>اللغة المعتمدة: العربية (في حالة وجود نسخة إنجليزية، تسود النسخة العربية).</w:t>
      </w:r>
    </w:p>
    <w:p>
      <w:pPr>
        <w:pStyle w:val="ListBullet"/>
        <w:bidi w:val="1"/>
        <w:jc w:val="right"/>
      </w:pPr>
      <w:r>
        <w:t>النسخ الأصلية: نسختان أصليتان، لكل طرف نسخة للعمل بموجبها.</w:t>
      </w:r>
    </w:p>
    <w:p>
      <w:r>
        <w:br w:type="page"/>
      </w:r>
    </w:p>
    <w:p>
      <w:pPr>
        <w:pStyle w:val="Heading2"/>
        <w:bidi w:val="1"/>
        <w:jc w:val="right"/>
      </w:pPr>
      <w:r>
        <w:t>الملاحق المطلوبة</w:t>
      </w:r>
    </w:p>
    <w:p>
      <w:pPr>
        <w:pStyle w:val="ListBullet"/>
        <w:bidi w:val="1"/>
        <w:jc w:val="right"/>
      </w:pPr>
      <w:r>
        <w:t>الملحق (أ): النطاق الجغرافي - إحداثيات GPS والخرائط</w:t>
      </w:r>
    </w:p>
    <w:p>
      <w:pPr>
        <w:pStyle w:val="ListBullet"/>
        <w:bidi w:val="1"/>
        <w:jc w:val="right"/>
      </w:pPr>
      <w:r>
        <w:t>الملحق (ب): مؤشرات الأداء وجدول الأهداف</w:t>
      </w:r>
    </w:p>
    <w:p>
      <w:pPr>
        <w:pStyle w:val="ListBullet"/>
        <w:bidi w:val="1"/>
        <w:jc w:val="right"/>
      </w:pPr>
      <w:r>
        <w:t>الملحق (ج): المواصفات الفنية للأسطوانات</w:t>
      </w:r>
    </w:p>
    <w:p>
      <w:pPr>
        <w:pStyle w:val="ListBullet"/>
        <w:bidi w:val="1"/>
        <w:jc w:val="right"/>
      </w:pPr>
      <w:r>
        <w:t>الملحق (د): نموذج طلب موافقة الموزع الفرعي</w:t>
      </w:r>
    </w:p>
    <w:p>
      <w:pPr>
        <w:pStyle w:val="ListBullet"/>
        <w:bidi w:val="1"/>
        <w:jc w:val="right"/>
      </w:pPr>
      <w:r>
        <w:t>الملحق (هـ): آلية حساب خصم الأداء</w:t>
      </w:r>
    </w:p>
    <w:p>
      <w:pPr>
        <w:pStyle w:val="Heading2"/>
        <w:bidi w:val="1"/>
        <w:jc w:val="right"/>
      </w:pPr>
      <w:r>
        <w:t>التوقيعات</w:t>
      </w:r>
    </w:p>
    <w:p>
      <w:pPr>
        <w:bidi w:val="1"/>
        <w:jc w:val="right"/>
      </w:pPr>
    </w:p>
    <w:p>
      <w:pPr>
        <w:bidi w:val="1"/>
        <w:jc w:val="right"/>
      </w:pPr>
      <w:r>
        <w:rPr>
          <w:b/>
        </w:rPr>
        <w:t>الطرف الأول: شركة TreeGas (المورد)</w:t>
      </w:r>
    </w:p>
    <w:p>
      <w:pPr>
        <w:bidi w:val="1"/>
        <w:jc w:val="right"/>
      </w:pPr>
      <w:r>
        <w:t>الاسم: _______________________</w:t>
      </w:r>
    </w:p>
    <w:p>
      <w:pPr>
        <w:bidi w:val="1"/>
        <w:jc w:val="right"/>
      </w:pPr>
      <w:r>
        <w:t>الصفة: _______________________</w:t>
      </w:r>
    </w:p>
    <w:p>
      <w:pPr>
        <w:bidi w:val="1"/>
        <w:jc w:val="right"/>
      </w:pPr>
      <w:r>
        <w:t>التوقيع: _______________________</w:t>
      </w:r>
    </w:p>
    <w:p>
      <w:pPr>
        <w:bidi w:val="1"/>
        <w:jc w:val="right"/>
      </w:pPr>
      <w:r>
        <w:t>التاريخ: _______________________</w:t>
      </w:r>
    </w:p>
    <w:p>
      <w:pPr>
        <w:bidi w:val="1"/>
        <w:jc w:val="right"/>
      </w:pPr>
      <w:r>
        <w:t>ختم الشركة</w:t>
      </w:r>
    </w:p>
    <w:p>
      <w:pPr>
        <w:bidi w:val="1"/>
        <w:jc w:val="right"/>
      </w:pPr>
    </w:p>
    <w:p>
      <w:pPr>
        <w:bidi w:val="1"/>
        <w:jc w:val="right"/>
      </w:pPr>
    </w:p>
    <w:p>
      <w:pPr>
        <w:bidi w:val="1"/>
        <w:jc w:val="right"/>
      </w:pPr>
      <w:r>
        <w:rPr>
          <w:b/>
        </w:rPr>
        <w:t>الطرف الثاني: الموزع المعتمد</w:t>
      </w:r>
    </w:p>
    <w:p>
      <w:pPr>
        <w:bidi w:val="1"/>
        <w:jc w:val="right"/>
      </w:pPr>
      <w:r>
        <w:t>الاسم: _______________________</w:t>
      </w:r>
    </w:p>
    <w:p>
      <w:pPr>
        <w:bidi w:val="1"/>
        <w:jc w:val="right"/>
      </w:pPr>
      <w:r>
        <w:t>الصفة: _______________________</w:t>
      </w:r>
    </w:p>
    <w:p>
      <w:pPr>
        <w:bidi w:val="1"/>
        <w:jc w:val="right"/>
      </w:pPr>
      <w:r>
        <w:t>التوقيع: _______________________</w:t>
      </w:r>
    </w:p>
    <w:p>
      <w:pPr>
        <w:bidi w:val="1"/>
        <w:jc w:val="right"/>
      </w:pPr>
      <w:r>
        <w:t>التاريخ: _______________________</w:t>
      </w:r>
    </w:p>
    <w:p>
      <w:pPr>
        <w:bidi w:val="1"/>
        <w:jc w:val="right"/>
      </w:pPr>
      <w:r>
        <w:t>ختم الشركة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bidi w:val="1"/>
      <w:jc w:val="center"/>
    </w:pPr>
    <w:r>
      <w:rPr>
        <w:sz w:val="18"/>
      </w:rPr>
      <w:t>المنطقة الاقتصادية لقناة السويس - عين السخنة | www.ezygas.com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bidi w:val="1"/>
      <w:jc w:val="center"/>
    </w:pPr>
    <w:r>
      <w:rPr>
        <w:b/>
        <w:sz w:val="24"/>
      </w:rPr>
      <w:t>شركة TreeGas - منصة EzyGas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